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7AED3" w14:textId="77777777" w:rsidR="002E6B46" w:rsidRDefault="00000000">
      <w:pPr>
        <w:spacing w:line="360" w:lineRule="auto"/>
        <w:ind w:left="-851" w:right="-897"/>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From Bedside to Safer Care: Impact of an Integrated Digital Safety System on Patient Awareness</w:t>
      </w:r>
    </w:p>
    <w:p w14:paraId="60DA7AA4" w14:textId="77777777" w:rsidR="002E6B46" w:rsidRDefault="00000000">
      <w:pPr>
        <w:spacing w:line="360" w:lineRule="auto"/>
        <w:ind w:left="-851" w:right="-897"/>
        <w:jc w:val="both"/>
        <w:rPr>
          <w:rFonts w:ascii="Times New Roman" w:eastAsia="Times New Roman" w:hAnsi="Times New Roman" w:cs="Times New Roman"/>
          <w:b/>
          <w:bCs/>
        </w:rPr>
      </w:pPr>
      <w:r>
        <w:rPr>
          <w:rFonts w:ascii="Times New Roman" w:eastAsia="Times New Roman" w:hAnsi="Times New Roman" w:cs="Times New Roman"/>
          <w:b/>
          <w:bCs/>
        </w:rPr>
        <w:t>Abstract</w:t>
      </w:r>
    </w:p>
    <w:p w14:paraId="389FC2F1" w14:textId="77777777" w:rsidR="002E6B46" w:rsidRDefault="00000000">
      <w:pPr>
        <w:spacing w:line="360" w:lineRule="auto"/>
        <w:ind w:left="-851" w:right="-897"/>
        <w:jc w:val="both"/>
        <w:rPr>
          <w:rFonts w:ascii="Times New Roman" w:eastAsia="Times New Roman" w:hAnsi="Times New Roman" w:cs="Times New Roman"/>
          <w:i/>
          <w:iCs/>
        </w:rPr>
      </w:pPr>
      <w:r>
        <w:rPr>
          <w:rFonts w:ascii="Times New Roman" w:eastAsia="Times New Roman" w:hAnsi="Times New Roman" w:cs="Times New Roman"/>
          <w:b/>
          <w:bCs/>
          <w:i/>
          <w:iCs/>
        </w:rPr>
        <w:t>Background:</w:t>
      </w:r>
      <w:r>
        <w:rPr>
          <w:rFonts w:ascii="Times New Roman" w:eastAsia="Times New Roman" w:hAnsi="Times New Roman" w:cs="Times New Roman"/>
          <w:i/>
          <w:iCs/>
        </w:rPr>
        <w:t xml:space="preserve"> Patient safety is a core component of quality nursing care. Despite established hospital safety protocols, preventable adverse events continue to occur, often due to inadequate patient awareness and limited engagement in safety practices. Conventional patient education methods, such as brief verbal instructions and printed leaflets, are frequently inconsistent and poorly retained. Bedside-integrated digital safety systems provide an innovative, patient-centred approach to deliver standardized and easily accessible safety information at the point of care. </w:t>
      </w:r>
      <w:r>
        <w:rPr>
          <w:rFonts w:ascii="Times New Roman" w:eastAsia="Times New Roman" w:hAnsi="Times New Roman" w:cs="Times New Roman"/>
          <w:b/>
          <w:bCs/>
          <w:i/>
          <w:iCs/>
        </w:rPr>
        <w:t>Aim:</w:t>
      </w:r>
      <w:r>
        <w:rPr>
          <w:rFonts w:ascii="Times New Roman" w:eastAsia="Times New Roman" w:hAnsi="Times New Roman" w:cs="Times New Roman"/>
          <w:i/>
          <w:iCs/>
        </w:rPr>
        <w:t xml:space="preserve"> To assess the effectiveness of a bedside-integrated digital safety system in improving patient awareness of selected hospital safety protocols among patients in selected hospitals. </w:t>
      </w:r>
      <w:r>
        <w:rPr>
          <w:rFonts w:ascii="Times New Roman" w:eastAsia="Times New Roman" w:hAnsi="Times New Roman" w:cs="Times New Roman"/>
          <w:b/>
          <w:bCs/>
          <w:i/>
          <w:iCs/>
        </w:rPr>
        <w:t>Methods:</w:t>
      </w:r>
      <w:r>
        <w:rPr>
          <w:rFonts w:ascii="Times New Roman" w:eastAsia="Times New Roman" w:hAnsi="Times New Roman" w:cs="Times New Roman"/>
          <w:i/>
          <w:iCs/>
        </w:rPr>
        <w:t xml:space="preserve"> A quantitative quasi-experimental research design with experimental and control groups was adopted. Eighty-four adult patients admitted to medical wards were selected using simple random sampling and allocated equally to experimental (n = 42) and control (n = 42) groups. Baseline awareness was assessed using a structured questionnaire. The experimental group received a bedside-integrated digital safety system, while the control group received routine care. Post-test assessment was conducted after the intervention. Descriptive and inferential statistics were used for data analysis. </w:t>
      </w:r>
      <w:r>
        <w:rPr>
          <w:rFonts w:ascii="Times New Roman" w:eastAsia="Times New Roman" w:hAnsi="Times New Roman" w:cs="Times New Roman"/>
          <w:b/>
          <w:bCs/>
          <w:i/>
          <w:iCs/>
        </w:rPr>
        <w:t>Results:</w:t>
      </w:r>
      <w:r>
        <w:rPr>
          <w:rFonts w:ascii="Times New Roman" w:eastAsia="Times New Roman" w:hAnsi="Times New Roman" w:cs="Times New Roman"/>
          <w:i/>
          <w:iCs/>
        </w:rPr>
        <w:t xml:space="preserve"> The experimental group demonstrated a significantly higher mean post-test awareness score (22.31 ± 2.83) compared to the control group (6.24 ± 2.69). The difference between groups was highly statistically significant (t = 26.64, p &lt; 0.001), indicating the effectiveness of the bedside-integrated digital safety system. </w:t>
      </w:r>
      <w:r>
        <w:rPr>
          <w:rFonts w:ascii="Times New Roman" w:eastAsia="Times New Roman" w:hAnsi="Times New Roman" w:cs="Times New Roman"/>
          <w:b/>
          <w:bCs/>
          <w:i/>
          <w:iCs/>
        </w:rPr>
        <w:t>Conclusion:</w:t>
      </w:r>
      <w:r>
        <w:rPr>
          <w:rFonts w:ascii="Times New Roman" w:eastAsia="Times New Roman" w:hAnsi="Times New Roman" w:cs="Times New Roman"/>
          <w:i/>
          <w:iCs/>
        </w:rPr>
        <w:t xml:space="preserve"> Bedside-integrated digital safety education is an effective strategy to enhance patient awareness of hospital safety protocols. Incorporating such systems into routine nursing practice can promote patient participation, strengthen safety culture, and contribute to safer hospital care.</w:t>
      </w:r>
    </w:p>
    <w:p w14:paraId="64065776" w14:textId="77777777" w:rsidR="002E6B46" w:rsidRDefault="00000000">
      <w:pPr>
        <w:spacing w:line="360" w:lineRule="auto"/>
        <w:ind w:left="-851" w:right="-897"/>
        <w:jc w:val="both"/>
        <w:rPr>
          <w:rFonts w:ascii="Times New Roman" w:eastAsia="Times New Roman" w:hAnsi="Times New Roman" w:cs="Times New Roman"/>
          <w:i/>
          <w:iCs/>
        </w:rPr>
      </w:pPr>
      <w:r>
        <w:rPr>
          <w:rFonts w:ascii="Times New Roman" w:eastAsia="Times New Roman" w:hAnsi="Times New Roman" w:cs="Times New Roman"/>
          <w:b/>
          <w:bCs/>
          <w:i/>
          <w:iCs/>
        </w:rPr>
        <w:t>Keywords:</w:t>
      </w:r>
      <w:r>
        <w:rPr>
          <w:rFonts w:ascii="Times New Roman" w:eastAsia="Times New Roman" w:hAnsi="Times New Roman" w:cs="Times New Roman"/>
          <w:i/>
          <w:iCs/>
        </w:rPr>
        <w:t xml:space="preserve"> Patient safety, digital health, bedside education, patient awareness, nursing innovation, quasi-experimental study.</w:t>
      </w:r>
    </w:p>
    <w:p w14:paraId="625647BF" w14:textId="77777777" w:rsidR="002E6B46" w:rsidRDefault="00000000">
      <w:pPr>
        <w:spacing w:line="360" w:lineRule="auto"/>
        <w:ind w:left="-851" w:right="-897"/>
        <w:jc w:val="both"/>
        <w:rPr>
          <w:rFonts w:ascii="Times New Roman" w:eastAsia="Times New Roman" w:hAnsi="Times New Roman" w:cs="Times New Roman"/>
          <w:b/>
          <w:bCs/>
        </w:rPr>
      </w:pPr>
      <w:r>
        <w:rPr>
          <w:rFonts w:ascii="Times New Roman" w:eastAsia="Times New Roman" w:hAnsi="Times New Roman" w:cs="Times New Roman"/>
          <w:b/>
          <w:bCs/>
        </w:rPr>
        <w:t>Introduction</w:t>
      </w:r>
    </w:p>
    <w:p w14:paraId="230B4A39" w14:textId="77777777" w:rsidR="002E6B46" w:rsidRDefault="00000000">
      <w:pPr>
        <w:spacing w:line="360" w:lineRule="auto"/>
        <w:ind w:left="-851" w:right="-897"/>
        <w:jc w:val="both"/>
        <w:rPr>
          <w:rFonts w:ascii="Times New Roman" w:eastAsia="Times New Roman" w:hAnsi="Times New Roman" w:cs="Times New Roman"/>
        </w:rPr>
      </w:pPr>
      <w:r>
        <w:rPr>
          <w:rFonts w:ascii="Times New Roman" w:eastAsia="Times New Roman" w:hAnsi="Times New Roman" w:cs="Times New Roman"/>
        </w:rPr>
        <w:t xml:space="preserve">Patient safety remains a global priority and a fundamental responsibility of nurses and healthcare organizations. Hospitals are complex environments where patients are exposed to multiple risks, including falls, healthcare-associated infections, medication errors, intravenous line complications, and pressure injuries. Many of these adverse events are preventable when patients are adequately informed and actively involved in their own care (1). Nurses play a pivotal role in educating patients about safety protocols during hospitalization. However, traditional patient education methods often rely on brief verbal explanations provided during admission or routine care. These approaches may be ineffective due to time constraints, high patient turnover, anxiety, illness severity, and information overload, leading to poor retention of safety information (3). Advances in digital health technologies offer new opportunities to enhance patient education and engagement. Bedside-integrated digital safety systems allow patients to access structured safety information at their convenience, enabling repeated exposure and self-paced learning. Such systems align with the principles of patient-centred care and shared responsibility for safety (2). Although digital tools are being adopted in various aspects of healthcare, evidence regarding </w:t>
      </w:r>
      <w:r>
        <w:rPr>
          <w:rFonts w:ascii="Times New Roman" w:eastAsia="Times New Roman" w:hAnsi="Times New Roman" w:cs="Times New Roman"/>
        </w:rPr>
        <w:lastRenderedPageBreak/>
        <w:t xml:space="preserve">their effectiveness in improving inpatient awareness of safety protocols remains limited, particularly in the Indian context. </w:t>
      </w:r>
      <w:r w:rsidRPr="00BD6613">
        <w:rPr>
          <w:rFonts w:ascii="Times New Roman" w:eastAsia="Times New Roman" w:hAnsi="Times New Roman" w:cs="Times New Roman"/>
          <w:color w:val="000000" w:themeColor="text1"/>
        </w:rPr>
        <w:t xml:space="preserve">Nurse </w:t>
      </w:r>
      <w:r>
        <w:rPr>
          <w:rFonts w:ascii="Times New Roman" w:eastAsia="Times New Roman" w:hAnsi="Times New Roman" w:cs="Times New Roman"/>
        </w:rPr>
        <w:t xml:space="preserve">innovators are increasingly exploring technology-enabled solutions to strengthen patient education and safety outcomes. This study was therefore undertaken to evaluate the effectiveness of a bedside-integrated digital safety system in improving patient awareness of selected hospital safety protocols. The present </w:t>
      </w:r>
      <w:r w:rsidRPr="00BD6613">
        <w:rPr>
          <w:rFonts w:ascii="Times New Roman" w:eastAsia="Times New Roman" w:hAnsi="Times New Roman" w:cs="Times New Roman"/>
        </w:rPr>
        <w:t xml:space="preserve">study’s </w:t>
      </w:r>
      <w:r>
        <w:rPr>
          <w:rFonts w:ascii="Times New Roman" w:eastAsia="Times New Roman" w:hAnsi="Times New Roman" w:cs="Times New Roman"/>
        </w:rPr>
        <w:t xml:space="preserve">problem statement was “A quasi-experimental study to assess the effectiveness of a bedside-integrated digital safety system in improving patient awareness of selected hospital safety protocols among patients in selected hospitals.” Objectives of the study were: 1) To assess the baseline level of patient awareness regarding selected hospital safety protocols. 2) To evaluate the effectiveness of a bedside-integrated digital safety system on patient awareness, and 3) To compare post-intervention awareness levels between the experimental and control groups. The study hypothesis was that there </w:t>
      </w:r>
      <w:r w:rsidRPr="00BD6613">
        <w:rPr>
          <w:rFonts w:ascii="Times New Roman" w:eastAsia="Times New Roman" w:hAnsi="Times New Roman" w:cs="Times New Roman"/>
        </w:rPr>
        <w:t xml:space="preserve">would </w:t>
      </w:r>
      <w:r>
        <w:rPr>
          <w:rFonts w:ascii="Times New Roman" w:eastAsia="Times New Roman" w:hAnsi="Times New Roman" w:cs="Times New Roman"/>
        </w:rPr>
        <w:t>be a statistically significant difference in post-test awareness scores between patients who receive the bedside-integrated digital safety system and those who receive routine care.</w:t>
      </w:r>
    </w:p>
    <w:p w14:paraId="032B2C66" w14:textId="77777777" w:rsidR="002E6B46" w:rsidRDefault="00000000">
      <w:pPr>
        <w:spacing w:line="360" w:lineRule="auto"/>
        <w:ind w:left="-851" w:right="-897"/>
        <w:jc w:val="both"/>
        <w:rPr>
          <w:rFonts w:ascii="Times New Roman" w:eastAsia="Times New Roman" w:hAnsi="Times New Roman" w:cs="Times New Roman"/>
          <w:b/>
          <w:bCs/>
        </w:rPr>
      </w:pPr>
      <w:r>
        <w:rPr>
          <w:rFonts w:ascii="Times New Roman" w:eastAsia="Times New Roman" w:hAnsi="Times New Roman" w:cs="Times New Roman"/>
          <w:b/>
          <w:bCs/>
        </w:rPr>
        <w:t xml:space="preserve">Review of Literature: </w:t>
      </w:r>
      <w:r>
        <w:rPr>
          <w:rFonts w:ascii="Times New Roman" w:eastAsia="Times New Roman" w:hAnsi="Times New Roman" w:cs="Times New Roman"/>
        </w:rPr>
        <w:t xml:space="preserve">Patient awareness and engagement are recognized as key contributors to improved safety outcomes. Studies conducted in hospital settings report that patients often have </w:t>
      </w:r>
      <w:r w:rsidRPr="00BD6613">
        <w:rPr>
          <w:rFonts w:ascii="Times New Roman" w:eastAsia="Times New Roman" w:hAnsi="Times New Roman" w:cs="Times New Roman"/>
        </w:rPr>
        <w:t xml:space="preserve">a </w:t>
      </w:r>
      <w:r>
        <w:rPr>
          <w:rFonts w:ascii="Times New Roman" w:eastAsia="Times New Roman" w:hAnsi="Times New Roman" w:cs="Times New Roman"/>
        </w:rPr>
        <w:t>limited understanding of safety measures such as fall prevention strategies, hand hygiene practices, and device-related care, which increases vulnerability to preventable complications (2).</w:t>
      </w:r>
      <w:r>
        <w:rPr>
          <w:rFonts w:ascii="Times New Roman" w:eastAsia="Times New Roman" w:hAnsi="Times New Roman" w:cs="Times New Roman"/>
          <w:b/>
          <w:bCs/>
        </w:rPr>
        <w:t xml:space="preserve"> </w:t>
      </w:r>
      <w:r>
        <w:rPr>
          <w:rFonts w:ascii="Times New Roman" w:eastAsia="Times New Roman" w:hAnsi="Times New Roman" w:cs="Times New Roman"/>
        </w:rPr>
        <w:t>Educational interventions have consistently demonstrated positive effects on patient knowledge when structured and patient-centred approaches are used. Traditional teaching methods, while widely practiced, may not adequately address individual learning needs, or ensure consistent delivery of information (4).</w:t>
      </w:r>
      <w:r>
        <w:rPr>
          <w:rFonts w:ascii="Times New Roman" w:eastAsia="Times New Roman" w:hAnsi="Times New Roman" w:cs="Times New Roman"/>
          <w:b/>
          <w:bCs/>
        </w:rPr>
        <w:t xml:space="preserve"> </w:t>
      </w:r>
      <w:r>
        <w:rPr>
          <w:rFonts w:ascii="Times New Roman" w:eastAsia="Times New Roman" w:hAnsi="Times New Roman" w:cs="Times New Roman"/>
        </w:rPr>
        <w:t>Digital health interventions, including mobile applications, QR code–based education, and bedside digital platforms, have shown promise in improving accessibility, knowledge retention, and patient satisfaction. Research indicates that digital tools enable repeated access to information and visual reinforcement, resulting in better understanding compared to one-time verbal explanations (5).</w:t>
      </w:r>
      <w:r>
        <w:rPr>
          <w:rFonts w:ascii="Times New Roman" w:eastAsia="Times New Roman" w:hAnsi="Times New Roman" w:cs="Times New Roman"/>
          <w:b/>
          <w:bCs/>
        </w:rPr>
        <w:t xml:space="preserve"> </w:t>
      </w:r>
      <w:r>
        <w:rPr>
          <w:rFonts w:ascii="Times New Roman" w:eastAsia="Times New Roman" w:hAnsi="Times New Roman" w:cs="Times New Roman"/>
        </w:rPr>
        <w:t>Despite growing interest in digital education, many studies focus on outpatient education or chronic disease management. There is limited empirical evidence examining the impact of bedside-integrated digital safety systems during hospitalization, highlighting the need for further research in inpatient settings (6).</w:t>
      </w:r>
    </w:p>
    <w:p w14:paraId="2A5307AB" w14:textId="77777777" w:rsidR="002E6B46" w:rsidRDefault="00000000">
      <w:pPr>
        <w:spacing w:line="360" w:lineRule="auto"/>
        <w:ind w:left="-851" w:right="-897"/>
        <w:jc w:val="both"/>
        <w:rPr>
          <w:rFonts w:ascii="Times New Roman" w:eastAsia="Times New Roman" w:hAnsi="Times New Roman" w:cs="Times New Roman"/>
        </w:rPr>
      </w:pPr>
      <w:r>
        <w:rPr>
          <w:rFonts w:ascii="Times New Roman" w:eastAsia="Times New Roman" w:hAnsi="Times New Roman" w:cs="Times New Roman"/>
          <w:b/>
          <w:bCs/>
        </w:rPr>
        <w:t xml:space="preserve">Methodology: </w:t>
      </w:r>
      <w:r>
        <w:rPr>
          <w:rFonts w:ascii="Times New Roman" w:eastAsia="Times New Roman" w:hAnsi="Times New Roman" w:cs="Times New Roman"/>
        </w:rPr>
        <w:t xml:space="preserve">The present study used a quantitative quasi-experimental research design with experimental and control groups to evaluate the effectiveness of the bedside-integrated digital safety system. The study was conducted in the medical wards of selected hospitals. The population comprised adult patients admitted to medical wards. A total of 84 patients were selected using simple random sampling and equally allocated to experimental (n = 42) and control (n = 42) groups. The inclusion and exclusion Criteria were patients aged 18 years and above who were clinically stable, able to understand the study language, and willing to participate were included. Critically ill patients and those with cognitive impairment were excluded from the study. Intervention focuses on the bedside-integrated digital safety system, which consisted of digital content accessible at the patient’s bedside. The content covered selected hospital safety protocols, including fall prevention, hand hygiene, intravenous line care, and skin care. Patients in the experimental group were oriented to the system and encouraged to access the content during their hospital stay. The control group received routine verbal instructions as per standard nursing practice. Data were collected for patient awareness measured by using a structured questionnaire developed based on hospital safety protocols. The tool was validated by subject experts and demonstrated acceptable reliability. Before data collection, informed consent was taken. Baseline awareness was assessed for both groups </w:t>
      </w:r>
      <w:r w:rsidRPr="00BD6613">
        <w:rPr>
          <w:rFonts w:ascii="Times New Roman" w:eastAsia="Times New Roman" w:hAnsi="Times New Roman" w:cs="Times New Roman"/>
        </w:rPr>
        <w:t xml:space="preserve">before </w:t>
      </w:r>
      <w:r>
        <w:rPr>
          <w:rFonts w:ascii="Times New Roman" w:eastAsia="Times New Roman" w:hAnsi="Times New Roman" w:cs="Times New Roman"/>
        </w:rPr>
        <w:t xml:space="preserve">the </w:t>
      </w:r>
      <w:r>
        <w:rPr>
          <w:rFonts w:ascii="Times New Roman" w:eastAsia="Times New Roman" w:hAnsi="Times New Roman" w:cs="Times New Roman"/>
        </w:rPr>
        <w:lastRenderedPageBreak/>
        <w:t>intervention. The digital safety system was then implemented in the form of a QR code for the experimental group. Post-test assessment was conducted after the intervention period for both groups. Descriptive statistics were used to summarize demographic variables and awareness scores. An independent t-test was used to compare post-test awareness scores between the experimental and control groups.</w:t>
      </w:r>
    </w:p>
    <w:p w14:paraId="4E59F0F5" w14:textId="77777777" w:rsidR="002E6B46" w:rsidRDefault="00000000">
      <w:pPr>
        <w:spacing w:line="360" w:lineRule="auto"/>
        <w:ind w:left="-851" w:right="-897"/>
        <w:jc w:val="both"/>
        <w:rPr>
          <w:rFonts w:ascii="Times New Roman" w:eastAsia="Times New Roman" w:hAnsi="Times New Roman" w:cs="Times New Roman"/>
          <w:b/>
          <w:bCs/>
          <w:color w:val="FF0000"/>
        </w:rPr>
      </w:pPr>
      <w:r>
        <w:rPr>
          <w:rFonts w:ascii="Times New Roman" w:eastAsia="Times New Roman" w:hAnsi="Times New Roman" w:cs="Times New Roman"/>
          <w:b/>
          <w:bCs/>
        </w:rPr>
        <w:t xml:space="preserve">Results of the study: </w:t>
      </w:r>
    </w:p>
    <w:p w14:paraId="6B7DBC92" w14:textId="77777777" w:rsidR="002E6B46" w:rsidRDefault="00000000">
      <w:pPr>
        <w:widowControl w:val="0"/>
        <w:spacing w:after="0" w:line="406" w:lineRule="auto"/>
        <w:ind w:right="125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t xml:space="preserve">Table 1: Demographic Profile </w:t>
      </w:r>
    </w:p>
    <w:tbl>
      <w:tblPr>
        <w:tblStyle w:val="a"/>
        <w:tblW w:w="7695" w:type="dxa"/>
        <w:tblInd w:w="11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65"/>
        <w:gridCol w:w="2565"/>
        <w:gridCol w:w="2565"/>
      </w:tblGrid>
      <w:tr w:rsidR="002E6B46" w14:paraId="360C1CE7" w14:textId="77777777">
        <w:trPr>
          <w:trHeight w:val="520"/>
        </w:trPr>
        <w:tc>
          <w:tcPr>
            <w:tcW w:w="2565" w:type="dxa"/>
            <w:tcMar>
              <w:top w:w="100" w:type="dxa"/>
              <w:left w:w="100" w:type="dxa"/>
              <w:bottom w:w="100" w:type="dxa"/>
              <w:right w:w="100" w:type="dxa"/>
            </w:tcMar>
          </w:tcPr>
          <w:p w14:paraId="51B81783" w14:textId="77777777" w:rsidR="002E6B46" w:rsidRDefault="00000000">
            <w:pPr>
              <w:widowControl w:val="0"/>
              <w:spacing w:after="0" w:line="240" w:lineRule="auto"/>
              <w:jc w:val="center"/>
              <w:rPr>
                <w:rFonts w:ascii="Calibri" w:eastAsia="Calibri" w:hAnsi="Calibri" w:cs="Calibri"/>
                <w:b/>
                <w:bCs/>
              </w:rPr>
            </w:pPr>
            <w:r>
              <w:rPr>
                <w:rFonts w:ascii="Calibri" w:eastAsia="Calibri" w:hAnsi="Calibri" w:cs="Calibri"/>
                <w:b/>
                <w:bCs/>
              </w:rPr>
              <w:t xml:space="preserve">Age </w:t>
            </w:r>
          </w:p>
        </w:tc>
        <w:tc>
          <w:tcPr>
            <w:tcW w:w="2565" w:type="dxa"/>
            <w:tcMar>
              <w:top w:w="100" w:type="dxa"/>
              <w:left w:w="100" w:type="dxa"/>
              <w:bottom w:w="100" w:type="dxa"/>
              <w:right w:w="100" w:type="dxa"/>
            </w:tcMar>
          </w:tcPr>
          <w:p w14:paraId="1E6ADAC7" w14:textId="77777777" w:rsidR="002E6B46" w:rsidRDefault="00000000">
            <w:pPr>
              <w:widowControl w:val="0"/>
              <w:spacing w:after="0" w:line="240" w:lineRule="auto"/>
              <w:jc w:val="center"/>
              <w:rPr>
                <w:rFonts w:ascii="Calibri" w:eastAsia="Calibri" w:hAnsi="Calibri" w:cs="Calibri"/>
                <w:b/>
                <w:bCs/>
              </w:rPr>
            </w:pPr>
            <w:r>
              <w:rPr>
                <w:rFonts w:ascii="Calibri" w:eastAsia="Calibri" w:hAnsi="Calibri" w:cs="Calibri"/>
                <w:b/>
                <w:bCs/>
              </w:rPr>
              <w:t xml:space="preserve">Frequency </w:t>
            </w:r>
          </w:p>
        </w:tc>
        <w:tc>
          <w:tcPr>
            <w:tcW w:w="2565" w:type="dxa"/>
            <w:tcMar>
              <w:top w:w="100" w:type="dxa"/>
              <w:left w:w="100" w:type="dxa"/>
              <w:bottom w:w="100" w:type="dxa"/>
              <w:right w:w="100" w:type="dxa"/>
            </w:tcMar>
          </w:tcPr>
          <w:p w14:paraId="0457C423" w14:textId="77777777" w:rsidR="002E6B46" w:rsidRDefault="00000000">
            <w:pPr>
              <w:widowControl w:val="0"/>
              <w:spacing w:after="0" w:line="240" w:lineRule="auto"/>
              <w:jc w:val="center"/>
              <w:rPr>
                <w:rFonts w:ascii="Calibri" w:eastAsia="Calibri" w:hAnsi="Calibri" w:cs="Calibri"/>
                <w:b/>
                <w:bCs/>
              </w:rPr>
            </w:pPr>
            <w:r>
              <w:rPr>
                <w:rFonts w:ascii="Calibri" w:eastAsia="Calibri" w:hAnsi="Calibri" w:cs="Calibri"/>
                <w:b/>
                <w:bCs/>
              </w:rPr>
              <w:t xml:space="preserve">Percentage </w:t>
            </w:r>
          </w:p>
        </w:tc>
      </w:tr>
      <w:tr w:rsidR="002E6B46" w14:paraId="6454E1F2" w14:textId="77777777">
        <w:trPr>
          <w:trHeight w:val="515"/>
        </w:trPr>
        <w:tc>
          <w:tcPr>
            <w:tcW w:w="2565" w:type="dxa"/>
            <w:tcMar>
              <w:top w:w="100" w:type="dxa"/>
              <w:left w:w="100" w:type="dxa"/>
              <w:bottom w:w="100" w:type="dxa"/>
              <w:right w:w="100" w:type="dxa"/>
            </w:tcMar>
          </w:tcPr>
          <w:p w14:paraId="09BD8783" w14:textId="77777777" w:rsidR="002E6B46" w:rsidRDefault="00000000">
            <w:pPr>
              <w:widowControl w:val="0"/>
              <w:spacing w:after="0" w:line="240" w:lineRule="auto"/>
              <w:rPr>
                <w:rFonts w:ascii="Calibri" w:eastAsia="Calibri" w:hAnsi="Calibri" w:cs="Calibri"/>
              </w:rPr>
            </w:pPr>
            <w:r>
              <w:rPr>
                <w:rFonts w:ascii="Calibri" w:eastAsia="Calibri" w:hAnsi="Calibri" w:cs="Calibri"/>
              </w:rPr>
              <w:t xml:space="preserve">18-30 years </w:t>
            </w:r>
          </w:p>
        </w:tc>
        <w:tc>
          <w:tcPr>
            <w:tcW w:w="2565" w:type="dxa"/>
            <w:tcMar>
              <w:top w:w="100" w:type="dxa"/>
              <w:left w:w="100" w:type="dxa"/>
              <w:bottom w:w="100" w:type="dxa"/>
              <w:right w:w="100" w:type="dxa"/>
            </w:tcMar>
          </w:tcPr>
          <w:p w14:paraId="47046BE7" w14:textId="77777777" w:rsidR="002E6B46" w:rsidRDefault="00000000">
            <w:pPr>
              <w:widowControl w:val="0"/>
              <w:spacing w:after="0" w:line="240" w:lineRule="auto"/>
              <w:rPr>
                <w:rFonts w:ascii="Calibri" w:eastAsia="Calibri" w:hAnsi="Calibri" w:cs="Calibri"/>
              </w:rPr>
            </w:pPr>
            <w:r>
              <w:rPr>
                <w:rFonts w:ascii="Calibri" w:eastAsia="Calibri" w:hAnsi="Calibri" w:cs="Calibri"/>
              </w:rPr>
              <w:t>21</w:t>
            </w:r>
          </w:p>
        </w:tc>
        <w:tc>
          <w:tcPr>
            <w:tcW w:w="2565" w:type="dxa"/>
            <w:tcMar>
              <w:top w:w="100" w:type="dxa"/>
              <w:left w:w="100" w:type="dxa"/>
              <w:bottom w:w="100" w:type="dxa"/>
              <w:right w:w="100" w:type="dxa"/>
            </w:tcMar>
          </w:tcPr>
          <w:p w14:paraId="0FAC696B" w14:textId="77777777" w:rsidR="002E6B46" w:rsidRDefault="00000000">
            <w:pPr>
              <w:widowControl w:val="0"/>
              <w:spacing w:after="0" w:line="240" w:lineRule="auto"/>
              <w:rPr>
                <w:rFonts w:ascii="Calibri" w:eastAsia="Calibri" w:hAnsi="Calibri" w:cs="Calibri"/>
              </w:rPr>
            </w:pPr>
            <w:r>
              <w:rPr>
                <w:rFonts w:ascii="Calibri" w:eastAsia="Calibri" w:hAnsi="Calibri" w:cs="Calibri"/>
              </w:rPr>
              <w:t>25</w:t>
            </w:r>
          </w:p>
        </w:tc>
      </w:tr>
      <w:tr w:rsidR="002E6B46" w14:paraId="14F1D250" w14:textId="77777777">
        <w:trPr>
          <w:trHeight w:val="520"/>
        </w:trPr>
        <w:tc>
          <w:tcPr>
            <w:tcW w:w="2565" w:type="dxa"/>
            <w:tcMar>
              <w:top w:w="100" w:type="dxa"/>
              <w:left w:w="100" w:type="dxa"/>
              <w:bottom w:w="100" w:type="dxa"/>
              <w:right w:w="100" w:type="dxa"/>
            </w:tcMar>
          </w:tcPr>
          <w:p w14:paraId="276CE3F9" w14:textId="77777777" w:rsidR="002E6B46" w:rsidRDefault="00000000">
            <w:pPr>
              <w:widowControl w:val="0"/>
              <w:spacing w:after="0" w:line="240" w:lineRule="auto"/>
              <w:rPr>
                <w:rFonts w:ascii="Calibri" w:eastAsia="Calibri" w:hAnsi="Calibri" w:cs="Calibri"/>
              </w:rPr>
            </w:pPr>
            <w:r>
              <w:rPr>
                <w:rFonts w:ascii="Calibri" w:eastAsia="Calibri" w:hAnsi="Calibri" w:cs="Calibri"/>
              </w:rPr>
              <w:t xml:space="preserve">31-45 years </w:t>
            </w:r>
          </w:p>
        </w:tc>
        <w:tc>
          <w:tcPr>
            <w:tcW w:w="2565" w:type="dxa"/>
            <w:tcMar>
              <w:top w:w="100" w:type="dxa"/>
              <w:left w:w="100" w:type="dxa"/>
              <w:bottom w:w="100" w:type="dxa"/>
              <w:right w:w="100" w:type="dxa"/>
            </w:tcMar>
          </w:tcPr>
          <w:p w14:paraId="17727FE1" w14:textId="77777777" w:rsidR="002E6B46" w:rsidRDefault="00000000">
            <w:pPr>
              <w:widowControl w:val="0"/>
              <w:spacing w:after="0" w:line="240" w:lineRule="auto"/>
              <w:rPr>
                <w:rFonts w:ascii="Calibri" w:eastAsia="Calibri" w:hAnsi="Calibri" w:cs="Calibri"/>
              </w:rPr>
            </w:pPr>
            <w:r>
              <w:rPr>
                <w:rFonts w:ascii="Calibri" w:eastAsia="Calibri" w:hAnsi="Calibri" w:cs="Calibri"/>
              </w:rPr>
              <w:t>27</w:t>
            </w:r>
          </w:p>
        </w:tc>
        <w:tc>
          <w:tcPr>
            <w:tcW w:w="2565" w:type="dxa"/>
            <w:tcMar>
              <w:top w:w="100" w:type="dxa"/>
              <w:left w:w="100" w:type="dxa"/>
              <w:bottom w:w="100" w:type="dxa"/>
              <w:right w:w="100" w:type="dxa"/>
            </w:tcMar>
          </w:tcPr>
          <w:p w14:paraId="1EA0ABF7" w14:textId="77777777" w:rsidR="002E6B46" w:rsidRDefault="00000000">
            <w:pPr>
              <w:widowControl w:val="0"/>
              <w:spacing w:after="0" w:line="240" w:lineRule="auto"/>
              <w:rPr>
                <w:rFonts w:ascii="Calibri" w:eastAsia="Calibri" w:hAnsi="Calibri" w:cs="Calibri"/>
              </w:rPr>
            </w:pPr>
            <w:r>
              <w:rPr>
                <w:rFonts w:ascii="Calibri" w:eastAsia="Calibri" w:hAnsi="Calibri" w:cs="Calibri"/>
              </w:rPr>
              <w:t>32</w:t>
            </w:r>
          </w:p>
        </w:tc>
      </w:tr>
      <w:tr w:rsidR="002E6B46" w14:paraId="0767C3C9" w14:textId="77777777">
        <w:trPr>
          <w:trHeight w:val="520"/>
        </w:trPr>
        <w:tc>
          <w:tcPr>
            <w:tcW w:w="2565" w:type="dxa"/>
            <w:tcMar>
              <w:top w:w="100" w:type="dxa"/>
              <w:left w:w="100" w:type="dxa"/>
              <w:bottom w:w="100" w:type="dxa"/>
              <w:right w:w="100" w:type="dxa"/>
            </w:tcMar>
          </w:tcPr>
          <w:p w14:paraId="1C1E07A7" w14:textId="77777777" w:rsidR="002E6B46" w:rsidRDefault="00000000">
            <w:pPr>
              <w:widowControl w:val="0"/>
              <w:spacing w:after="0" w:line="240" w:lineRule="auto"/>
              <w:rPr>
                <w:rFonts w:ascii="Calibri" w:eastAsia="Calibri" w:hAnsi="Calibri" w:cs="Calibri"/>
              </w:rPr>
            </w:pPr>
            <w:r>
              <w:rPr>
                <w:rFonts w:ascii="Calibri" w:eastAsia="Calibri" w:hAnsi="Calibri" w:cs="Calibri"/>
              </w:rPr>
              <w:t xml:space="preserve">46-60 years </w:t>
            </w:r>
          </w:p>
        </w:tc>
        <w:tc>
          <w:tcPr>
            <w:tcW w:w="2565" w:type="dxa"/>
            <w:tcMar>
              <w:top w:w="100" w:type="dxa"/>
              <w:left w:w="100" w:type="dxa"/>
              <w:bottom w:w="100" w:type="dxa"/>
              <w:right w:w="100" w:type="dxa"/>
            </w:tcMar>
          </w:tcPr>
          <w:p w14:paraId="47185B2C" w14:textId="77777777" w:rsidR="002E6B46" w:rsidRDefault="00000000">
            <w:pPr>
              <w:widowControl w:val="0"/>
              <w:spacing w:after="0" w:line="240" w:lineRule="auto"/>
              <w:rPr>
                <w:rFonts w:ascii="Calibri" w:eastAsia="Calibri" w:hAnsi="Calibri" w:cs="Calibri"/>
              </w:rPr>
            </w:pPr>
            <w:r>
              <w:rPr>
                <w:rFonts w:ascii="Calibri" w:eastAsia="Calibri" w:hAnsi="Calibri" w:cs="Calibri"/>
              </w:rPr>
              <w:t>23</w:t>
            </w:r>
          </w:p>
        </w:tc>
        <w:tc>
          <w:tcPr>
            <w:tcW w:w="2565" w:type="dxa"/>
            <w:tcMar>
              <w:top w:w="100" w:type="dxa"/>
              <w:left w:w="100" w:type="dxa"/>
              <w:bottom w:w="100" w:type="dxa"/>
              <w:right w:w="100" w:type="dxa"/>
            </w:tcMar>
          </w:tcPr>
          <w:p w14:paraId="0C6E8818" w14:textId="77777777" w:rsidR="002E6B46" w:rsidRDefault="00000000">
            <w:pPr>
              <w:widowControl w:val="0"/>
              <w:spacing w:after="0" w:line="240" w:lineRule="auto"/>
              <w:rPr>
                <w:rFonts w:ascii="Calibri" w:eastAsia="Calibri" w:hAnsi="Calibri" w:cs="Calibri"/>
              </w:rPr>
            </w:pPr>
            <w:r>
              <w:rPr>
                <w:rFonts w:ascii="Calibri" w:eastAsia="Calibri" w:hAnsi="Calibri" w:cs="Calibri"/>
              </w:rPr>
              <w:t>27</w:t>
            </w:r>
          </w:p>
        </w:tc>
      </w:tr>
      <w:tr w:rsidR="002E6B46" w14:paraId="176D8646" w14:textId="77777777">
        <w:trPr>
          <w:trHeight w:val="520"/>
        </w:trPr>
        <w:tc>
          <w:tcPr>
            <w:tcW w:w="2565" w:type="dxa"/>
            <w:tcMar>
              <w:top w:w="100" w:type="dxa"/>
              <w:left w:w="100" w:type="dxa"/>
              <w:bottom w:w="100" w:type="dxa"/>
              <w:right w:w="100" w:type="dxa"/>
            </w:tcMar>
          </w:tcPr>
          <w:p w14:paraId="32CE98F0" w14:textId="77777777" w:rsidR="002E6B46" w:rsidRDefault="00000000">
            <w:pPr>
              <w:widowControl w:val="0"/>
              <w:spacing w:after="0" w:line="240" w:lineRule="auto"/>
              <w:rPr>
                <w:rFonts w:ascii="Calibri" w:eastAsia="Calibri" w:hAnsi="Calibri" w:cs="Calibri"/>
              </w:rPr>
            </w:pPr>
            <w:r>
              <w:rPr>
                <w:rFonts w:ascii="Calibri" w:eastAsia="Calibri" w:hAnsi="Calibri" w:cs="Calibri"/>
              </w:rPr>
              <w:t xml:space="preserve">&gt;60 years </w:t>
            </w:r>
          </w:p>
        </w:tc>
        <w:tc>
          <w:tcPr>
            <w:tcW w:w="2565" w:type="dxa"/>
            <w:tcMar>
              <w:top w:w="100" w:type="dxa"/>
              <w:left w:w="100" w:type="dxa"/>
              <w:bottom w:w="100" w:type="dxa"/>
              <w:right w:w="100" w:type="dxa"/>
            </w:tcMar>
          </w:tcPr>
          <w:p w14:paraId="3ACDFB64" w14:textId="77777777" w:rsidR="002E6B46" w:rsidRDefault="00000000">
            <w:pPr>
              <w:widowControl w:val="0"/>
              <w:spacing w:after="0" w:line="240" w:lineRule="auto"/>
              <w:rPr>
                <w:rFonts w:ascii="Calibri" w:eastAsia="Calibri" w:hAnsi="Calibri" w:cs="Calibri"/>
              </w:rPr>
            </w:pPr>
            <w:r>
              <w:rPr>
                <w:rFonts w:ascii="Calibri" w:eastAsia="Calibri" w:hAnsi="Calibri" w:cs="Calibri"/>
              </w:rPr>
              <w:t>13</w:t>
            </w:r>
          </w:p>
        </w:tc>
        <w:tc>
          <w:tcPr>
            <w:tcW w:w="2565" w:type="dxa"/>
            <w:tcMar>
              <w:top w:w="100" w:type="dxa"/>
              <w:left w:w="100" w:type="dxa"/>
              <w:bottom w:w="100" w:type="dxa"/>
              <w:right w:w="100" w:type="dxa"/>
            </w:tcMar>
          </w:tcPr>
          <w:p w14:paraId="0B31FAC1" w14:textId="77777777" w:rsidR="002E6B46" w:rsidRDefault="00000000">
            <w:pPr>
              <w:widowControl w:val="0"/>
              <w:spacing w:after="0" w:line="240" w:lineRule="auto"/>
              <w:rPr>
                <w:rFonts w:ascii="Calibri" w:eastAsia="Calibri" w:hAnsi="Calibri" w:cs="Calibri"/>
              </w:rPr>
            </w:pPr>
            <w:r>
              <w:rPr>
                <w:rFonts w:ascii="Calibri" w:eastAsia="Calibri" w:hAnsi="Calibri" w:cs="Calibri"/>
              </w:rPr>
              <w:t>15</w:t>
            </w:r>
          </w:p>
        </w:tc>
      </w:tr>
      <w:tr w:rsidR="002E6B46" w14:paraId="1529FDD2" w14:textId="77777777">
        <w:trPr>
          <w:trHeight w:val="520"/>
        </w:trPr>
        <w:tc>
          <w:tcPr>
            <w:tcW w:w="2565" w:type="dxa"/>
            <w:tcMar>
              <w:top w:w="100" w:type="dxa"/>
              <w:left w:w="100" w:type="dxa"/>
              <w:bottom w:w="100" w:type="dxa"/>
              <w:right w:w="100" w:type="dxa"/>
            </w:tcMar>
          </w:tcPr>
          <w:p w14:paraId="5FC4DBD5" w14:textId="77777777" w:rsidR="002E6B46" w:rsidRDefault="00000000">
            <w:pPr>
              <w:widowControl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Gender </w:t>
            </w:r>
          </w:p>
        </w:tc>
        <w:tc>
          <w:tcPr>
            <w:tcW w:w="2565" w:type="dxa"/>
            <w:tcMar>
              <w:top w:w="100" w:type="dxa"/>
              <w:left w:w="100" w:type="dxa"/>
              <w:bottom w:w="100" w:type="dxa"/>
              <w:right w:w="100" w:type="dxa"/>
            </w:tcMar>
          </w:tcPr>
          <w:p w14:paraId="1E326142" w14:textId="77777777" w:rsidR="002E6B46" w:rsidRDefault="00000000">
            <w:pPr>
              <w:widowControl w:val="0"/>
              <w:spacing w:after="0" w:line="240" w:lineRule="auto"/>
              <w:jc w:val="center"/>
              <w:rPr>
                <w:rFonts w:ascii="Times New Roman" w:eastAsia="Times New Roman" w:hAnsi="Times New Roman" w:cs="Times New Roman"/>
                <w:b/>
                <w:bCs/>
                <w:sz w:val="24"/>
                <w:szCs w:val="24"/>
              </w:rPr>
            </w:pPr>
            <w:r>
              <w:rPr>
                <w:rFonts w:ascii="Calibri" w:eastAsia="Calibri" w:hAnsi="Calibri" w:cs="Calibri"/>
                <w:b/>
                <w:bCs/>
              </w:rPr>
              <w:t xml:space="preserve">Frequency </w:t>
            </w:r>
          </w:p>
        </w:tc>
        <w:tc>
          <w:tcPr>
            <w:tcW w:w="2565" w:type="dxa"/>
            <w:tcMar>
              <w:top w:w="100" w:type="dxa"/>
              <w:left w:w="100" w:type="dxa"/>
              <w:bottom w:w="100" w:type="dxa"/>
              <w:right w:w="100" w:type="dxa"/>
            </w:tcMar>
          </w:tcPr>
          <w:p w14:paraId="0DC9E384" w14:textId="77777777" w:rsidR="002E6B46" w:rsidRDefault="00000000">
            <w:pPr>
              <w:widowControl w:val="0"/>
              <w:spacing w:after="0" w:line="240" w:lineRule="auto"/>
              <w:jc w:val="center"/>
              <w:rPr>
                <w:rFonts w:ascii="Calibri" w:eastAsia="Calibri" w:hAnsi="Calibri" w:cs="Calibri"/>
                <w:b/>
                <w:bCs/>
              </w:rPr>
            </w:pPr>
            <w:r>
              <w:rPr>
                <w:rFonts w:ascii="Calibri" w:eastAsia="Calibri" w:hAnsi="Calibri" w:cs="Calibri"/>
                <w:b/>
                <w:bCs/>
              </w:rPr>
              <w:t xml:space="preserve">Percentage </w:t>
            </w:r>
          </w:p>
        </w:tc>
      </w:tr>
      <w:tr w:rsidR="002E6B46" w14:paraId="0C5D5C98" w14:textId="77777777">
        <w:trPr>
          <w:trHeight w:val="520"/>
        </w:trPr>
        <w:tc>
          <w:tcPr>
            <w:tcW w:w="2565" w:type="dxa"/>
            <w:tcMar>
              <w:top w:w="100" w:type="dxa"/>
              <w:left w:w="100" w:type="dxa"/>
              <w:bottom w:w="100" w:type="dxa"/>
              <w:right w:w="100" w:type="dxa"/>
            </w:tcMar>
          </w:tcPr>
          <w:p w14:paraId="06FB23FB" w14:textId="77777777" w:rsidR="002E6B46" w:rsidRDefault="00000000">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Female </w:t>
            </w:r>
          </w:p>
        </w:tc>
        <w:tc>
          <w:tcPr>
            <w:tcW w:w="2565" w:type="dxa"/>
            <w:tcMar>
              <w:top w:w="100" w:type="dxa"/>
              <w:left w:w="100" w:type="dxa"/>
              <w:bottom w:w="100" w:type="dxa"/>
              <w:right w:w="100" w:type="dxa"/>
            </w:tcMar>
          </w:tcPr>
          <w:p w14:paraId="6B9FFA9F" w14:textId="77777777" w:rsidR="002E6B46" w:rsidRDefault="00000000">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2565" w:type="dxa"/>
            <w:tcMar>
              <w:top w:w="100" w:type="dxa"/>
              <w:left w:w="100" w:type="dxa"/>
              <w:bottom w:w="100" w:type="dxa"/>
              <w:right w:w="100" w:type="dxa"/>
            </w:tcMar>
          </w:tcPr>
          <w:p w14:paraId="735E8691" w14:textId="77777777" w:rsidR="002E6B46" w:rsidRDefault="00000000">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2E6B46" w14:paraId="36B18CD2" w14:textId="77777777">
        <w:trPr>
          <w:trHeight w:val="520"/>
        </w:trPr>
        <w:tc>
          <w:tcPr>
            <w:tcW w:w="2565" w:type="dxa"/>
            <w:tcMar>
              <w:top w:w="100" w:type="dxa"/>
              <w:left w:w="100" w:type="dxa"/>
              <w:bottom w:w="100" w:type="dxa"/>
              <w:right w:w="100" w:type="dxa"/>
            </w:tcMar>
          </w:tcPr>
          <w:p w14:paraId="74B5E6B1" w14:textId="77777777" w:rsidR="002E6B46" w:rsidRDefault="00000000">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Male </w:t>
            </w:r>
          </w:p>
        </w:tc>
        <w:tc>
          <w:tcPr>
            <w:tcW w:w="2565" w:type="dxa"/>
            <w:tcMar>
              <w:top w:w="100" w:type="dxa"/>
              <w:left w:w="100" w:type="dxa"/>
              <w:bottom w:w="100" w:type="dxa"/>
              <w:right w:w="100" w:type="dxa"/>
            </w:tcMar>
          </w:tcPr>
          <w:p w14:paraId="01600C57" w14:textId="77777777" w:rsidR="002E6B46" w:rsidRDefault="00000000">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2565" w:type="dxa"/>
            <w:tcMar>
              <w:top w:w="100" w:type="dxa"/>
              <w:left w:w="100" w:type="dxa"/>
              <w:bottom w:w="100" w:type="dxa"/>
              <w:right w:w="100" w:type="dxa"/>
            </w:tcMar>
          </w:tcPr>
          <w:p w14:paraId="5CC618C8" w14:textId="77777777" w:rsidR="002E6B46" w:rsidRDefault="00000000">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2E6B46" w14:paraId="73757CD7" w14:textId="77777777">
        <w:trPr>
          <w:trHeight w:val="520"/>
        </w:trPr>
        <w:tc>
          <w:tcPr>
            <w:tcW w:w="2565" w:type="dxa"/>
            <w:tcMar>
              <w:top w:w="100" w:type="dxa"/>
              <w:left w:w="100" w:type="dxa"/>
              <w:bottom w:w="100" w:type="dxa"/>
              <w:right w:w="100" w:type="dxa"/>
            </w:tcMar>
          </w:tcPr>
          <w:p w14:paraId="54742343" w14:textId="77777777" w:rsidR="002E6B46" w:rsidRDefault="00000000">
            <w:pPr>
              <w:widowControl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Education </w:t>
            </w:r>
          </w:p>
        </w:tc>
        <w:tc>
          <w:tcPr>
            <w:tcW w:w="2565" w:type="dxa"/>
            <w:tcMar>
              <w:top w:w="100" w:type="dxa"/>
              <w:left w:w="100" w:type="dxa"/>
              <w:bottom w:w="100" w:type="dxa"/>
              <w:right w:w="100" w:type="dxa"/>
            </w:tcMar>
          </w:tcPr>
          <w:p w14:paraId="0679AC6B" w14:textId="77777777" w:rsidR="002E6B46" w:rsidRDefault="00000000">
            <w:pPr>
              <w:widowControl w:val="0"/>
              <w:spacing w:after="0" w:line="240" w:lineRule="auto"/>
              <w:jc w:val="center"/>
              <w:rPr>
                <w:rFonts w:ascii="Times New Roman" w:eastAsia="Times New Roman" w:hAnsi="Times New Roman" w:cs="Times New Roman"/>
                <w:b/>
                <w:bCs/>
                <w:sz w:val="24"/>
                <w:szCs w:val="24"/>
              </w:rPr>
            </w:pPr>
            <w:r>
              <w:rPr>
                <w:rFonts w:ascii="Calibri" w:eastAsia="Calibri" w:hAnsi="Calibri" w:cs="Calibri"/>
                <w:b/>
                <w:bCs/>
              </w:rPr>
              <w:t xml:space="preserve">Frequency </w:t>
            </w:r>
          </w:p>
        </w:tc>
        <w:tc>
          <w:tcPr>
            <w:tcW w:w="2565" w:type="dxa"/>
            <w:tcMar>
              <w:top w:w="100" w:type="dxa"/>
              <w:left w:w="100" w:type="dxa"/>
              <w:bottom w:w="100" w:type="dxa"/>
              <w:right w:w="100" w:type="dxa"/>
            </w:tcMar>
          </w:tcPr>
          <w:p w14:paraId="04D827A4" w14:textId="77777777" w:rsidR="002E6B46" w:rsidRDefault="00000000">
            <w:pPr>
              <w:widowControl w:val="0"/>
              <w:spacing w:after="0" w:line="240" w:lineRule="auto"/>
              <w:jc w:val="center"/>
              <w:rPr>
                <w:rFonts w:ascii="Calibri" w:eastAsia="Calibri" w:hAnsi="Calibri" w:cs="Calibri"/>
                <w:b/>
                <w:bCs/>
              </w:rPr>
            </w:pPr>
            <w:r>
              <w:rPr>
                <w:rFonts w:ascii="Calibri" w:eastAsia="Calibri" w:hAnsi="Calibri" w:cs="Calibri"/>
                <w:b/>
                <w:bCs/>
              </w:rPr>
              <w:t xml:space="preserve">Percentage </w:t>
            </w:r>
          </w:p>
        </w:tc>
      </w:tr>
      <w:tr w:rsidR="002E6B46" w14:paraId="53E2E6EA" w14:textId="77777777">
        <w:trPr>
          <w:trHeight w:val="520"/>
        </w:trPr>
        <w:tc>
          <w:tcPr>
            <w:tcW w:w="2565" w:type="dxa"/>
            <w:tcMar>
              <w:top w:w="100" w:type="dxa"/>
              <w:left w:w="100" w:type="dxa"/>
              <w:bottom w:w="100" w:type="dxa"/>
              <w:right w:w="100" w:type="dxa"/>
            </w:tcMar>
          </w:tcPr>
          <w:p w14:paraId="7D434222" w14:textId="77777777" w:rsidR="002E6B46" w:rsidRDefault="00000000">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formal education </w:t>
            </w:r>
          </w:p>
        </w:tc>
        <w:tc>
          <w:tcPr>
            <w:tcW w:w="2565" w:type="dxa"/>
            <w:tcMar>
              <w:top w:w="100" w:type="dxa"/>
              <w:left w:w="100" w:type="dxa"/>
              <w:bottom w:w="100" w:type="dxa"/>
              <w:right w:w="100" w:type="dxa"/>
            </w:tcMar>
          </w:tcPr>
          <w:p w14:paraId="184D0046" w14:textId="77777777" w:rsidR="002E6B46" w:rsidRDefault="00000000">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2565" w:type="dxa"/>
            <w:tcMar>
              <w:top w:w="100" w:type="dxa"/>
              <w:left w:w="100" w:type="dxa"/>
              <w:bottom w:w="100" w:type="dxa"/>
              <w:right w:w="100" w:type="dxa"/>
            </w:tcMar>
          </w:tcPr>
          <w:p w14:paraId="5D1042E3" w14:textId="77777777" w:rsidR="002E6B46" w:rsidRDefault="00000000">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r>
      <w:tr w:rsidR="002E6B46" w14:paraId="6ED25554" w14:textId="77777777">
        <w:trPr>
          <w:trHeight w:val="520"/>
        </w:trPr>
        <w:tc>
          <w:tcPr>
            <w:tcW w:w="2565" w:type="dxa"/>
            <w:tcMar>
              <w:top w:w="100" w:type="dxa"/>
              <w:left w:w="100" w:type="dxa"/>
              <w:bottom w:w="100" w:type="dxa"/>
              <w:right w:w="100" w:type="dxa"/>
            </w:tcMar>
          </w:tcPr>
          <w:p w14:paraId="42C180CA" w14:textId="77777777" w:rsidR="002E6B46" w:rsidRDefault="00000000">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Primary </w:t>
            </w:r>
          </w:p>
        </w:tc>
        <w:tc>
          <w:tcPr>
            <w:tcW w:w="2565" w:type="dxa"/>
            <w:tcMar>
              <w:top w:w="100" w:type="dxa"/>
              <w:left w:w="100" w:type="dxa"/>
              <w:bottom w:w="100" w:type="dxa"/>
              <w:right w:w="100" w:type="dxa"/>
            </w:tcMar>
          </w:tcPr>
          <w:p w14:paraId="1476A0CC" w14:textId="77777777" w:rsidR="002E6B46" w:rsidRDefault="00000000">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2565" w:type="dxa"/>
            <w:tcMar>
              <w:top w:w="100" w:type="dxa"/>
              <w:left w:w="100" w:type="dxa"/>
              <w:bottom w:w="100" w:type="dxa"/>
              <w:right w:w="100" w:type="dxa"/>
            </w:tcMar>
          </w:tcPr>
          <w:p w14:paraId="26037CAA" w14:textId="77777777" w:rsidR="002E6B46" w:rsidRDefault="00000000">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r>
      <w:tr w:rsidR="002E6B46" w14:paraId="385E11F2" w14:textId="77777777">
        <w:trPr>
          <w:trHeight w:val="520"/>
        </w:trPr>
        <w:tc>
          <w:tcPr>
            <w:tcW w:w="2565" w:type="dxa"/>
            <w:tcMar>
              <w:top w:w="100" w:type="dxa"/>
              <w:left w:w="100" w:type="dxa"/>
              <w:bottom w:w="100" w:type="dxa"/>
              <w:right w:w="100" w:type="dxa"/>
            </w:tcMar>
          </w:tcPr>
          <w:p w14:paraId="162073F9" w14:textId="77777777" w:rsidR="002E6B46" w:rsidRDefault="00000000">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Secondary </w:t>
            </w:r>
          </w:p>
        </w:tc>
        <w:tc>
          <w:tcPr>
            <w:tcW w:w="2565" w:type="dxa"/>
            <w:tcMar>
              <w:top w:w="100" w:type="dxa"/>
              <w:left w:w="100" w:type="dxa"/>
              <w:bottom w:w="100" w:type="dxa"/>
              <w:right w:w="100" w:type="dxa"/>
            </w:tcMar>
          </w:tcPr>
          <w:p w14:paraId="760DE60E" w14:textId="77777777" w:rsidR="002E6B46" w:rsidRDefault="00000000">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2565" w:type="dxa"/>
            <w:tcMar>
              <w:top w:w="100" w:type="dxa"/>
              <w:left w:w="100" w:type="dxa"/>
              <w:bottom w:w="100" w:type="dxa"/>
              <w:right w:w="100" w:type="dxa"/>
            </w:tcMar>
          </w:tcPr>
          <w:p w14:paraId="0E3F95AF" w14:textId="77777777" w:rsidR="002E6B46" w:rsidRDefault="00000000">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r>
      <w:tr w:rsidR="002E6B46" w14:paraId="5590C17F" w14:textId="77777777">
        <w:trPr>
          <w:trHeight w:val="520"/>
        </w:trPr>
        <w:tc>
          <w:tcPr>
            <w:tcW w:w="2565" w:type="dxa"/>
            <w:tcMar>
              <w:top w:w="100" w:type="dxa"/>
              <w:left w:w="100" w:type="dxa"/>
              <w:bottom w:w="100" w:type="dxa"/>
              <w:right w:w="100" w:type="dxa"/>
            </w:tcMar>
          </w:tcPr>
          <w:p w14:paraId="0BE353AC" w14:textId="77777777" w:rsidR="002E6B46" w:rsidRDefault="00000000">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Graduate </w:t>
            </w:r>
          </w:p>
        </w:tc>
        <w:tc>
          <w:tcPr>
            <w:tcW w:w="2565" w:type="dxa"/>
            <w:tcMar>
              <w:top w:w="100" w:type="dxa"/>
              <w:left w:w="100" w:type="dxa"/>
              <w:bottom w:w="100" w:type="dxa"/>
              <w:right w:w="100" w:type="dxa"/>
            </w:tcMar>
          </w:tcPr>
          <w:p w14:paraId="2B0DB066" w14:textId="77777777" w:rsidR="002E6B46" w:rsidRDefault="00000000">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2565" w:type="dxa"/>
            <w:tcMar>
              <w:top w:w="100" w:type="dxa"/>
              <w:left w:w="100" w:type="dxa"/>
              <w:bottom w:w="100" w:type="dxa"/>
              <w:right w:w="100" w:type="dxa"/>
            </w:tcMar>
          </w:tcPr>
          <w:p w14:paraId="4734F466" w14:textId="77777777" w:rsidR="002E6B46" w:rsidRDefault="00000000">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r>
      <w:tr w:rsidR="002E6B46" w14:paraId="25704017" w14:textId="77777777">
        <w:trPr>
          <w:trHeight w:val="520"/>
        </w:trPr>
        <w:tc>
          <w:tcPr>
            <w:tcW w:w="2565" w:type="dxa"/>
            <w:tcMar>
              <w:top w:w="100" w:type="dxa"/>
              <w:left w:w="100" w:type="dxa"/>
              <w:bottom w:w="100" w:type="dxa"/>
              <w:right w:w="100" w:type="dxa"/>
            </w:tcMar>
          </w:tcPr>
          <w:p w14:paraId="2D5C1A2D" w14:textId="77777777" w:rsidR="002E6B46" w:rsidRDefault="00000000">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Post Graduate </w:t>
            </w:r>
          </w:p>
        </w:tc>
        <w:tc>
          <w:tcPr>
            <w:tcW w:w="2565" w:type="dxa"/>
            <w:tcMar>
              <w:top w:w="100" w:type="dxa"/>
              <w:left w:w="100" w:type="dxa"/>
              <w:bottom w:w="100" w:type="dxa"/>
              <w:right w:w="100" w:type="dxa"/>
            </w:tcMar>
          </w:tcPr>
          <w:p w14:paraId="4164FF8C" w14:textId="77777777" w:rsidR="002E6B46" w:rsidRDefault="00000000">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565" w:type="dxa"/>
            <w:tcMar>
              <w:top w:w="100" w:type="dxa"/>
              <w:left w:w="100" w:type="dxa"/>
              <w:bottom w:w="100" w:type="dxa"/>
              <w:right w:w="100" w:type="dxa"/>
            </w:tcMar>
          </w:tcPr>
          <w:p w14:paraId="5AAC7779" w14:textId="77777777" w:rsidR="002E6B46" w:rsidRDefault="00000000">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bl>
    <w:p w14:paraId="5E5771BE" w14:textId="77777777" w:rsidR="002E6B46" w:rsidRDefault="002E6B46">
      <w:pPr>
        <w:widowControl w:val="0"/>
        <w:spacing w:after="0" w:line="276" w:lineRule="auto"/>
        <w:rPr>
          <w:rFonts w:ascii="Times New Roman" w:eastAsia="Times New Roman" w:hAnsi="Times New Roman" w:cs="Times New Roman"/>
          <w:b/>
          <w:bCs/>
          <w:color w:val="FF0000"/>
        </w:rPr>
      </w:pPr>
    </w:p>
    <w:p w14:paraId="5BB3797D" w14:textId="77777777" w:rsidR="002E6B46" w:rsidRDefault="00000000">
      <w:pPr>
        <w:spacing w:line="360" w:lineRule="auto"/>
        <w:ind w:left="-851" w:right="-897"/>
        <w:jc w:val="both"/>
        <w:rPr>
          <w:rFonts w:ascii="Times New Roman" w:eastAsia="Times New Roman" w:hAnsi="Times New Roman" w:cs="Times New Roman"/>
        </w:rPr>
      </w:pPr>
      <w:r>
        <w:rPr>
          <w:rFonts w:ascii="Times New Roman" w:eastAsia="Times New Roman" w:hAnsi="Times New Roman" w:cs="Times New Roman"/>
        </w:rPr>
        <w:lastRenderedPageBreak/>
        <w:t>The descriptive analysis of demographic variables revealed that 32% of the participants belonged to the 31–45 years age group, indicating that a considerable proportion of the study population comprised middle-aged adults. With respect to educational status, the majority of participants had completed secondary education, suggesting a moderate level of formal education among the respondents. Both the experimental and control groups were comparable at baseline, ensuring the validity of subsequent outcome comparisons.</w:t>
      </w:r>
    </w:p>
    <w:p w14:paraId="0F4886BB" w14:textId="77777777" w:rsidR="002E6B46" w:rsidRDefault="002E6B46">
      <w:pPr>
        <w:spacing w:line="360" w:lineRule="auto"/>
        <w:ind w:left="-851" w:right="-897"/>
        <w:jc w:val="both"/>
        <w:rPr>
          <w:rFonts w:ascii="Times New Roman" w:eastAsia="Times New Roman" w:hAnsi="Times New Roman" w:cs="Times New Roman"/>
        </w:rPr>
      </w:pPr>
    </w:p>
    <w:p w14:paraId="6C6570FF" w14:textId="77777777" w:rsidR="002E6B46" w:rsidRDefault="002E6B46">
      <w:pPr>
        <w:spacing w:line="360" w:lineRule="auto"/>
        <w:ind w:left="-851" w:right="-897"/>
        <w:jc w:val="both"/>
        <w:rPr>
          <w:rFonts w:ascii="Times New Roman" w:eastAsia="Times New Roman" w:hAnsi="Times New Roman" w:cs="Times New Roman"/>
        </w:rPr>
      </w:pPr>
    </w:p>
    <w:p w14:paraId="0AACE844" w14:textId="77777777" w:rsidR="002E6B46" w:rsidRDefault="00000000">
      <w:pPr>
        <w:spacing w:line="360" w:lineRule="auto"/>
        <w:ind w:left="-851" w:right="-897"/>
        <w:jc w:val="center"/>
        <w:rPr>
          <w:rFonts w:ascii="Times New Roman" w:eastAsia="Times New Roman" w:hAnsi="Times New Roman" w:cs="Times New Roman"/>
          <w:b/>
          <w:bCs/>
        </w:rPr>
      </w:pPr>
      <w:r>
        <w:rPr>
          <w:rFonts w:ascii="Times New Roman" w:eastAsia="Times New Roman" w:hAnsi="Times New Roman" w:cs="Times New Roman"/>
          <w:b/>
          <w:bCs/>
        </w:rPr>
        <w:t>Table 2: Comparison of Post-Test Awareness Scores Between Experimental and Control Groups</w:t>
      </w:r>
    </w:p>
    <w:tbl>
      <w:tblPr>
        <w:tblStyle w:val="a0"/>
        <w:tblW w:w="9178" w:type="dxa"/>
        <w:tblLayout w:type="fixed"/>
        <w:tblLook w:val="0400" w:firstRow="0" w:lastRow="0" w:firstColumn="0" w:lastColumn="0" w:noHBand="0" w:noVBand="1"/>
      </w:tblPr>
      <w:tblGrid>
        <w:gridCol w:w="1835"/>
        <w:gridCol w:w="1843"/>
        <w:gridCol w:w="2268"/>
        <w:gridCol w:w="1701"/>
        <w:gridCol w:w="1531"/>
      </w:tblGrid>
      <w:tr w:rsidR="002E6B46" w14:paraId="159475E2" w14:textId="77777777">
        <w:trPr>
          <w:trHeight w:val="500"/>
        </w:trPr>
        <w:tc>
          <w:tcPr>
            <w:tcW w:w="1835" w:type="dxa"/>
            <w:tcBorders>
              <w:top w:val="single" w:sz="4" w:space="0" w:color="000000"/>
              <w:left w:val="single" w:sz="6" w:space="0" w:color="D9D9D9"/>
              <w:bottom w:val="single" w:sz="4" w:space="0" w:color="000000"/>
              <w:right w:val="single" w:sz="6" w:space="0" w:color="D9D9D9"/>
            </w:tcBorders>
            <w:shd w:val="clear" w:color="auto" w:fill="FFFFFF"/>
            <w:vAlign w:val="center"/>
          </w:tcPr>
          <w:p w14:paraId="26573579" w14:textId="77777777" w:rsidR="002E6B46" w:rsidRDefault="00000000">
            <w:pPr>
              <w:spacing w:line="360" w:lineRule="auto"/>
              <w:ind w:left="-851" w:right="-897"/>
              <w:jc w:val="center"/>
              <w:rPr>
                <w:rFonts w:ascii="Times New Roman" w:eastAsia="Times New Roman" w:hAnsi="Times New Roman" w:cs="Times New Roman"/>
                <w:b/>
                <w:bCs/>
              </w:rPr>
            </w:pPr>
            <w:r>
              <w:rPr>
                <w:rFonts w:ascii="Times New Roman" w:eastAsia="Times New Roman" w:hAnsi="Times New Roman" w:cs="Times New Roman"/>
                <w:b/>
                <w:bCs/>
              </w:rPr>
              <w:t>Group</w:t>
            </w:r>
          </w:p>
        </w:tc>
        <w:tc>
          <w:tcPr>
            <w:tcW w:w="1843" w:type="dxa"/>
            <w:tcBorders>
              <w:top w:val="single" w:sz="4" w:space="0" w:color="000000"/>
              <w:left w:val="single" w:sz="6" w:space="0" w:color="D9D9D9"/>
              <w:bottom w:val="single" w:sz="4" w:space="0" w:color="000000"/>
              <w:right w:val="single" w:sz="6" w:space="0" w:color="D9D9D9"/>
            </w:tcBorders>
            <w:shd w:val="clear" w:color="auto" w:fill="FFFFFF"/>
            <w:vAlign w:val="center"/>
          </w:tcPr>
          <w:p w14:paraId="7AAB2258" w14:textId="77777777" w:rsidR="002E6B46" w:rsidRDefault="00000000">
            <w:pPr>
              <w:spacing w:line="360" w:lineRule="auto"/>
              <w:ind w:left="-851" w:right="-897"/>
              <w:jc w:val="center"/>
              <w:rPr>
                <w:rFonts w:ascii="Times New Roman" w:eastAsia="Times New Roman" w:hAnsi="Times New Roman" w:cs="Times New Roman"/>
                <w:b/>
                <w:bCs/>
              </w:rPr>
            </w:pPr>
            <w:r>
              <w:rPr>
                <w:rFonts w:ascii="Times New Roman" w:eastAsia="Times New Roman" w:hAnsi="Times New Roman" w:cs="Times New Roman"/>
                <w:b/>
                <w:bCs/>
              </w:rPr>
              <w:t>n</w:t>
            </w:r>
          </w:p>
        </w:tc>
        <w:tc>
          <w:tcPr>
            <w:tcW w:w="2268" w:type="dxa"/>
            <w:tcBorders>
              <w:top w:val="single" w:sz="4" w:space="0" w:color="000000"/>
              <w:left w:val="single" w:sz="6" w:space="0" w:color="D9D9D9"/>
              <w:bottom w:val="single" w:sz="4" w:space="0" w:color="000000"/>
              <w:right w:val="single" w:sz="6" w:space="0" w:color="D9D9D9"/>
            </w:tcBorders>
            <w:shd w:val="clear" w:color="auto" w:fill="FFFFFF"/>
            <w:vAlign w:val="center"/>
          </w:tcPr>
          <w:p w14:paraId="12517D70" w14:textId="77777777" w:rsidR="002E6B46" w:rsidRDefault="00000000">
            <w:pPr>
              <w:spacing w:line="360" w:lineRule="auto"/>
              <w:ind w:left="-851" w:right="-897"/>
              <w:jc w:val="center"/>
              <w:rPr>
                <w:rFonts w:ascii="Times New Roman" w:eastAsia="Times New Roman" w:hAnsi="Times New Roman" w:cs="Times New Roman"/>
                <w:b/>
                <w:bCs/>
              </w:rPr>
            </w:pPr>
            <w:r>
              <w:rPr>
                <w:rFonts w:ascii="Times New Roman" w:eastAsia="Times New Roman" w:hAnsi="Times New Roman" w:cs="Times New Roman"/>
                <w:b/>
                <w:bCs/>
              </w:rPr>
              <w:t>Mean ± SD</w:t>
            </w:r>
          </w:p>
        </w:tc>
        <w:tc>
          <w:tcPr>
            <w:tcW w:w="1701" w:type="dxa"/>
            <w:tcBorders>
              <w:top w:val="single" w:sz="4" w:space="0" w:color="000000"/>
              <w:left w:val="single" w:sz="6" w:space="0" w:color="D9D9D9"/>
              <w:bottom w:val="single" w:sz="4" w:space="0" w:color="000000"/>
              <w:right w:val="single" w:sz="6" w:space="0" w:color="D9D9D9"/>
            </w:tcBorders>
            <w:shd w:val="clear" w:color="auto" w:fill="FFFFFF"/>
            <w:vAlign w:val="center"/>
          </w:tcPr>
          <w:p w14:paraId="5B45E1B7" w14:textId="77777777" w:rsidR="002E6B46" w:rsidRDefault="00000000">
            <w:pPr>
              <w:spacing w:line="360" w:lineRule="auto"/>
              <w:ind w:left="-851" w:right="-897"/>
              <w:jc w:val="center"/>
              <w:rPr>
                <w:rFonts w:ascii="Times New Roman" w:eastAsia="Times New Roman" w:hAnsi="Times New Roman" w:cs="Times New Roman"/>
                <w:b/>
                <w:bCs/>
              </w:rPr>
            </w:pPr>
            <w:r>
              <w:rPr>
                <w:rFonts w:ascii="Times New Roman" w:eastAsia="Times New Roman" w:hAnsi="Times New Roman" w:cs="Times New Roman"/>
                <w:b/>
                <w:bCs/>
              </w:rPr>
              <w:t>t-value</w:t>
            </w:r>
          </w:p>
        </w:tc>
        <w:tc>
          <w:tcPr>
            <w:tcW w:w="1531" w:type="dxa"/>
            <w:tcBorders>
              <w:top w:val="single" w:sz="4" w:space="0" w:color="000000"/>
              <w:left w:val="single" w:sz="6" w:space="0" w:color="D9D9D9"/>
              <w:bottom w:val="single" w:sz="4" w:space="0" w:color="000000"/>
              <w:right w:val="single" w:sz="6" w:space="0" w:color="D9D9D9"/>
            </w:tcBorders>
            <w:shd w:val="clear" w:color="auto" w:fill="FFFFFF"/>
            <w:vAlign w:val="center"/>
          </w:tcPr>
          <w:p w14:paraId="22F113E1" w14:textId="77777777" w:rsidR="002E6B46" w:rsidRDefault="00000000">
            <w:pPr>
              <w:spacing w:line="360" w:lineRule="auto"/>
              <w:ind w:left="-851" w:right="-897"/>
              <w:jc w:val="center"/>
              <w:rPr>
                <w:rFonts w:ascii="Times New Roman" w:eastAsia="Times New Roman" w:hAnsi="Times New Roman" w:cs="Times New Roman"/>
                <w:b/>
                <w:bCs/>
              </w:rPr>
            </w:pPr>
            <w:r>
              <w:rPr>
                <w:rFonts w:ascii="Times New Roman" w:eastAsia="Times New Roman" w:hAnsi="Times New Roman" w:cs="Times New Roman"/>
                <w:b/>
                <w:bCs/>
              </w:rPr>
              <w:t>p-value</w:t>
            </w:r>
          </w:p>
        </w:tc>
      </w:tr>
      <w:tr w:rsidR="002E6B46" w14:paraId="32905958" w14:textId="77777777">
        <w:trPr>
          <w:trHeight w:val="558"/>
        </w:trPr>
        <w:tc>
          <w:tcPr>
            <w:tcW w:w="1835" w:type="dxa"/>
            <w:tcBorders>
              <w:top w:val="single" w:sz="6" w:space="0" w:color="D9D9D9"/>
              <w:left w:val="single" w:sz="6" w:space="0" w:color="D9D9D9"/>
              <w:bottom w:val="single" w:sz="6" w:space="0" w:color="D9D9D9"/>
              <w:right w:val="single" w:sz="6" w:space="0" w:color="D9D9D9"/>
            </w:tcBorders>
            <w:shd w:val="clear" w:color="auto" w:fill="FFFFFF"/>
            <w:vAlign w:val="center"/>
          </w:tcPr>
          <w:p w14:paraId="7B7B1C17" w14:textId="77777777" w:rsidR="002E6B46" w:rsidRDefault="00000000">
            <w:pPr>
              <w:spacing w:line="360" w:lineRule="auto"/>
              <w:ind w:left="-851" w:right="-897"/>
              <w:jc w:val="center"/>
              <w:rPr>
                <w:rFonts w:ascii="Times New Roman" w:eastAsia="Times New Roman" w:hAnsi="Times New Roman" w:cs="Times New Roman"/>
                <w:b/>
                <w:bCs/>
              </w:rPr>
            </w:pPr>
            <w:r>
              <w:rPr>
                <w:rFonts w:ascii="Times New Roman" w:eastAsia="Times New Roman" w:hAnsi="Times New Roman" w:cs="Times New Roman"/>
                <w:b/>
                <w:bCs/>
              </w:rPr>
              <w:t>Experimental</w:t>
            </w:r>
          </w:p>
        </w:tc>
        <w:tc>
          <w:tcPr>
            <w:tcW w:w="1843" w:type="dxa"/>
            <w:tcBorders>
              <w:top w:val="single" w:sz="6" w:space="0" w:color="D9D9D9"/>
              <w:left w:val="single" w:sz="6" w:space="0" w:color="D9D9D9"/>
              <w:bottom w:val="single" w:sz="6" w:space="0" w:color="D9D9D9"/>
              <w:right w:val="single" w:sz="6" w:space="0" w:color="D9D9D9"/>
            </w:tcBorders>
            <w:shd w:val="clear" w:color="auto" w:fill="FFFFFF"/>
            <w:vAlign w:val="center"/>
          </w:tcPr>
          <w:p w14:paraId="3CF19903" w14:textId="77777777" w:rsidR="002E6B46" w:rsidRDefault="00000000">
            <w:pPr>
              <w:spacing w:line="360" w:lineRule="auto"/>
              <w:ind w:left="-851" w:right="-897"/>
              <w:jc w:val="center"/>
              <w:rPr>
                <w:rFonts w:ascii="Times New Roman" w:eastAsia="Times New Roman" w:hAnsi="Times New Roman" w:cs="Times New Roman"/>
                <w:b/>
                <w:bCs/>
              </w:rPr>
            </w:pPr>
            <w:r>
              <w:rPr>
                <w:rFonts w:ascii="Times New Roman" w:eastAsia="Times New Roman" w:hAnsi="Times New Roman" w:cs="Times New Roman"/>
                <w:b/>
                <w:bCs/>
              </w:rPr>
              <w:t>42</w:t>
            </w:r>
          </w:p>
        </w:tc>
        <w:tc>
          <w:tcPr>
            <w:tcW w:w="2268" w:type="dxa"/>
            <w:tcBorders>
              <w:top w:val="single" w:sz="6" w:space="0" w:color="D9D9D9"/>
              <w:left w:val="single" w:sz="6" w:space="0" w:color="D9D9D9"/>
              <w:bottom w:val="single" w:sz="6" w:space="0" w:color="D9D9D9"/>
              <w:right w:val="single" w:sz="6" w:space="0" w:color="D9D9D9"/>
            </w:tcBorders>
            <w:shd w:val="clear" w:color="auto" w:fill="FFFFFF"/>
            <w:vAlign w:val="center"/>
          </w:tcPr>
          <w:p w14:paraId="1B87EF45" w14:textId="77777777" w:rsidR="002E6B46" w:rsidRDefault="00000000">
            <w:pPr>
              <w:spacing w:line="360" w:lineRule="auto"/>
              <w:ind w:left="-851" w:right="-897"/>
              <w:jc w:val="center"/>
              <w:rPr>
                <w:rFonts w:ascii="Times New Roman" w:eastAsia="Times New Roman" w:hAnsi="Times New Roman" w:cs="Times New Roman"/>
                <w:b/>
                <w:bCs/>
              </w:rPr>
            </w:pPr>
            <w:r>
              <w:rPr>
                <w:rFonts w:ascii="Times New Roman" w:eastAsia="Times New Roman" w:hAnsi="Times New Roman" w:cs="Times New Roman"/>
                <w:b/>
                <w:bCs/>
              </w:rPr>
              <w:t>22.31 ± 2.83</w:t>
            </w:r>
          </w:p>
        </w:tc>
        <w:tc>
          <w:tcPr>
            <w:tcW w:w="1701" w:type="dxa"/>
            <w:vMerge w:val="restart"/>
            <w:tcBorders>
              <w:top w:val="single" w:sz="6" w:space="0" w:color="D9D9D9"/>
              <w:left w:val="single" w:sz="6" w:space="0" w:color="D9D9D9"/>
              <w:right w:val="single" w:sz="6" w:space="0" w:color="D9D9D9"/>
            </w:tcBorders>
            <w:shd w:val="clear" w:color="auto" w:fill="FFFFFF"/>
            <w:vAlign w:val="center"/>
          </w:tcPr>
          <w:p w14:paraId="48F2E21D" w14:textId="77777777" w:rsidR="002E6B46" w:rsidRDefault="00000000">
            <w:pPr>
              <w:spacing w:line="360" w:lineRule="auto"/>
              <w:ind w:left="-851" w:right="-897"/>
              <w:jc w:val="center"/>
              <w:rPr>
                <w:rFonts w:ascii="Times New Roman" w:eastAsia="Times New Roman" w:hAnsi="Times New Roman" w:cs="Times New Roman"/>
                <w:b/>
                <w:bCs/>
              </w:rPr>
            </w:pPr>
            <w:r>
              <w:rPr>
                <w:rFonts w:ascii="Times New Roman" w:eastAsia="Times New Roman" w:hAnsi="Times New Roman" w:cs="Times New Roman"/>
                <w:b/>
                <w:bCs/>
              </w:rPr>
              <w:t>26.64</w:t>
            </w:r>
          </w:p>
        </w:tc>
        <w:tc>
          <w:tcPr>
            <w:tcW w:w="1531" w:type="dxa"/>
            <w:vMerge w:val="restart"/>
            <w:tcBorders>
              <w:top w:val="single" w:sz="6" w:space="0" w:color="D9D9D9"/>
              <w:left w:val="single" w:sz="6" w:space="0" w:color="D9D9D9"/>
              <w:right w:val="single" w:sz="6" w:space="0" w:color="D9D9D9"/>
            </w:tcBorders>
            <w:shd w:val="clear" w:color="auto" w:fill="FFFFFF"/>
            <w:vAlign w:val="center"/>
          </w:tcPr>
          <w:p w14:paraId="28D94748" w14:textId="77777777" w:rsidR="002E6B46" w:rsidRDefault="00000000">
            <w:pPr>
              <w:spacing w:line="360" w:lineRule="auto"/>
              <w:ind w:left="-851" w:right="-897"/>
              <w:jc w:val="center"/>
              <w:rPr>
                <w:rFonts w:ascii="Times New Roman" w:eastAsia="Times New Roman" w:hAnsi="Times New Roman" w:cs="Times New Roman"/>
                <w:b/>
                <w:bCs/>
              </w:rPr>
            </w:pPr>
            <w:r>
              <w:rPr>
                <w:rFonts w:ascii="Times New Roman" w:eastAsia="Times New Roman" w:hAnsi="Times New Roman" w:cs="Times New Roman"/>
                <w:b/>
                <w:bCs/>
              </w:rPr>
              <w:t>&lt; 0.001</w:t>
            </w:r>
          </w:p>
        </w:tc>
      </w:tr>
      <w:tr w:rsidR="002E6B46" w14:paraId="50718C66" w14:textId="77777777">
        <w:trPr>
          <w:trHeight w:val="500"/>
        </w:trPr>
        <w:tc>
          <w:tcPr>
            <w:tcW w:w="1835" w:type="dxa"/>
            <w:tcBorders>
              <w:top w:val="single" w:sz="6" w:space="0" w:color="D9D9D9"/>
              <w:left w:val="single" w:sz="6" w:space="0" w:color="D9D9D9"/>
              <w:bottom w:val="single" w:sz="4" w:space="0" w:color="000000"/>
              <w:right w:val="single" w:sz="6" w:space="0" w:color="D9D9D9"/>
            </w:tcBorders>
            <w:shd w:val="clear" w:color="auto" w:fill="FFFFFF"/>
            <w:vAlign w:val="center"/>
          </w:tcPr>
          <w:p w14:paraId="66C043AF" w14:textId="77777777" w:rsidR="002E6B46" w:rsidRDefault="00000000">
            <w:pPr>
              <w:spacing w:line="360" w:lineRule="auto"/>
              <w:ind w:left="-851" w:right="-897"/>
              <w:jc w:val="center"/>
              <w:rPr>
                <w:rFonts w:ascii="Times New Roman" w:eastAsia="Times New Roman" w:hAnsi="Times New Roman" w:cs="Times New Roman"/>
                <w:b/>
                <w:bCs/>
              </w:rPr>
            </w:pPr>
            <w:r>
              <w:rPr>
                <w:rFonts w:ascii="Times New Roman" w:eastAsia="Times New Roman" w:hAnsi="Times New Roman" w:cs="Times New Roman"/>
                <w:b/>
                <w:bCs/>
              </w:rPr>
              <w:t>Control</w:t>
            </w:r>
          </w:p>
        </w:tc>
        <w:tc>
          <w:tcPr>
            <w:tcW w:w="1843" w:type="dxa"/>
            <w:tcBorders>
              <w:top w:val="single" w:sz="6" w:space="0" w:color="D9D9D9"/>
              <w:left w:val="single" w:sz="6" w:space="0" w:color="D9D9D9"/>
              <w:bottom w:val="single" w:sz="4" w:space="0" w:color="000000"/>
              <w:right w:val="single" w:sz="6" w:space="0" w:color="D9D9D9"/>
            </w:tcBorders>
            <w:shd w:val="clear" w:color="auto" w:fill="FFFFFF"/>
            <w:vAlign w:val="center"/>
          </w:tcPr>
          <w:p w14:paraId="78F16BAF" w14:textId="77777777" w:rsidR="002E6B46" w:rsidRDefault="00000000">
            <w:pPr>
              <w:spacing w:line="360" w:lineRule="auto"/>
              <w:ind w:left="-851" w:right="-897"/>
              <w:jc w:val="center"/>
              <w:rPr>
                <w:rFonts w:ascii="Times New Roman" w:eastAsia="Times New Roman" w:hAnsi="Times New Roman" w:cs="Times New Roman"/>
                <w:b/>
                <w:bCs/>
              </w:rPr>
            </w:pPr>
            <w:r>
              <w:rPr>
                <w:rFonts w:ascii="Times New Roman" w:eastAsia="Times New Roman" w:hAnsi="Times New Roman" w:cs="Times New Roman"/>
                <w:b/>
                <w:bCs/>
              </w:rPr>
              <w:t>42</w:t>
            </w:r>
          </w:p>
        </w:tc>
        <w:tc>
          <w:tcPr>
            <w:tcW w:w="2268" w:type="dxa"/>
            <w:tcBorders>
              <w:top w:val="single" w:sz="6" w:space="0" w:color="D9D9D9"/>
              <w:left w:val="single" w:sz="6" w:space="0" w:color="D9D9D9"/>
              <w:bottom w:val="single" w:sz="4" w:space="0" w:color="000000"/>
              <w:right w:val="single" w:sz="6" w:space="0" w:color="D9D9D9"/>
            </w:tcBorders>
            <w:shd w:val="clear" w:color="auto" w:fill="FFFFFF"/>
            <w:vAlign w:val="center"/>
          </w:tcPr>
          <w:p w14:paraId="60BD13FB" w14:textId="77777777" w:rsidR="002E6B46" w:rsidRDefault="00000000">
            <w:pPr>
              <w:spacing w:line="360" w:lineRule="auto"/>
              <w:ind w:left="-851" w:right="-897"/>
              <w:jc w:val="center"/>
              <w:rPr>
                <w:rFonts w:ascii="Times New Roman" w:eastAsia="Times New Roman" w:hAnsi="Times New Roman" w:cs="Times New Roman"/>
                <w:b/>
                <w:bCs/>
              </w:rPr>
            </w:pPr>
            <w:r>
              <w:rPr>
                <w:rFonts w:ascii="Times New Roman" w:eastAsia="Times New Roman" w:hAnsi="Times New Roman" w:cs="Times New Roman"/>
                <w:b/>
                <w:bCs/>
              </w:rPr>
              <w:t>6.24 ± 2.69</w:t>
            </w:r>
          </w:p>
        </w:tc>
        <w:tc>
          <w:tcPr>
            <w:tcW w:w="1701" w:type="dxa"/>
            <w:vMerge/>
            <w:tcBorders>
              <w:top w:val="single" w:sz="6" w:space="0" w:color="D9D9D9"/>
              <w:left w:val="single" w:sz="6" w:space="0" w:color="D9D9D9"/>
              <w:right w:val="single" w:sz="6" w:space="0" w:color="D9D9D9"/>
            </w:tcBorders>
            <w:shd w:val="clear" w:color="auto" w:fill="FFFFFF"/>
            <w:vAlign w:val="center"/>
          </w:tcPr>
          <w:p w14:paraId="50B46451" w14:textId="77777777" w:rsidR="002E6B46" w:rsidRDefault="002E6B46">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c>
          <w:tcPr>
            <w:tcW w:w="1531" w:type="dxa"/>
            <w:vMerge/>
            <w:tcBorders>
              <w:top w:val="single" w:sz="6" w:space="0" w:color="D9D9D9"/>
              <w:left w:val="single" w:sz="6" w:space="0" w:color="D9D9D9"/>
              <w:right w:val="single" w:sz="6" w:space="0" w:color="D9D9D9"/>
            </w:tcBorders>
            <w:shd w:val="clear" w:color="auto" w:fill="FFFFFF"/>
            <w:vAlign w:val="center"/>
          </w:tcPr>
          <w:p w14:paraId="337952FD" w14:textId="77777777" w:rsidR="002E6B46" w:rsidRDefault="002E6B46">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r>
    </w:tbl>
    <w:p w14:paraId="2F2412C0" w14:textId="77777777" w:rsidR="002E6B46" w:rsidRDefault="002E6B46">
      <w:pPr>
        <w:spacing w:line="360" w:lineRule="auto"/>
        <w:ind w:left="-851" w:right="-897"/>
        <w:jc w:val="both"/>
        <w:rPr>
          <w:rFonts w:ascii="Times New Roman" w:eastAsia="Times New Roman" w:hAnsi="Times New Roman" w:cs="Times New Roman"/>
          <w:b/>
          <w:bCs/>
        </w:rPr>
      </w:pPr>
    </w:p>
    <w:p w14:paraId="15F02698" w14:textId="77777777" w:rsidR="002E6B46" w:rsidRDefault="00000000">
      <w:pPr>
        <w:spacing w:line="360" w:lineRule="auto"/>
        <w:ind w:left="-851" w:right="-897"/>
        <w:jc w:val="both"/>
        <w:rPr>
          <w:rFonts w:ascii="Times New Roman" w:eastAsia="Times New Roman" w:hAnsi="Times New Roman" w:cs="Times New Roman"/>
        </w:rPr>
      </w:pPr>
      <w:r>
        <w:rPr>
          <w:rFonts w:ascii="Times New Roman" w:eastAsia="Times New Roman" w:hAnsi="Times New Roman" w:cs="Times New Roman"/>
        </w:rPr>
        <w:t xml:space="preserve">Table 2 indicates a highly statistically significant difference in post-test awareness scores between the experimental and control groups. It illustrates the marked difference in mean post-test awareness scores between the experimental and control groups, demonstrating the effectiveness of the bedside-integrated digital safety system. </w:t>
      </w:r>
    </w:p>
    <w:p w14:paraId="39055CB3" w14:textId="69839C10" w:rsidR="002E6B46" w:rsidRDefault="00000000">
      <w:pPr>
        <w:spacing w:line="360" w:lineRule="auto"/>
        <w:ind w:left="-851" w:right="-897"/>
        <w:jc w:val="both"/>
        <w:rPr>
          <w:rFonts w:ascii="Times New Roman" w:eastAsia="Times New Roman" w:hAnsi="Times New Roman" w:cs="Times New Roman"/>
          <w:b/>
          <w:bCs/>
        </w:rPr>
      </w:pPr>
      <w:r>
        <w:rPr>
          <w:rFonts w:ascii="Times New Roman" w:eastAsia="Times New Roman" w:hAnsi="Times New Roman" w:cs="Times New Roman"/>
          <w:b/>
          <w:bCs/>
        </w:rPr>
        <w:t xml:space="preserve">Discussion: </w:t>
      </w:r>
      <w:r>
        <w:rPr>
          <w:rFonts w:ascii="Times New Roman" w:eastAsia="Times New Roman" w:hAnsi="Times New Roman" w:cs="Times New Roman"/>
        </w:rPr>
        <w:t>The findings of the present study indicate that bedside-integrated digital safety education significantly improves patient awareness of hospital safety protocols. The results support existing evidence that digital and technology-assisted educational interventions enhance patient understanding and engagement</w:t>
      </w:r>
      <w:r w:rsidR="00BD6613">
        <w:rPr>
          <w:rFonts w:ascii="Times New Roman" w:eastAsia="Times New Roman" w:hAnsi="Times New Roman" w:cs="Times New Roman"/>
        </w:rPr>
        <w:t xml:space="preserve"> </w:t>
      </w:r>
      <w:r>
        <w:rPr>
          <w:rFonts w:ascii="Times New Roman" w:eastAsia="Times New Roman" w:hAnsi="Times New Roman" w:cs="Times New Roman"/>
        </w:rPr>
        <w:t>(5).</w:t>
      </w:r>
      <w:r>
        <w:rPr>
          <w:rFonts w:ascii="Times New Roman" w:eastAsia="Times New Roman" w:hAnsi="Times New Roman" w:cs="Times New Roman"/>
          <w:b/>
          <w:bCs/>
        </w:rPr>
        <w:t xml:space="preserve"> </w:t>
      </w:r>
      <w:r>
        <w:rPr>
          <w:rFonts w:ascii="Times New Roman" w:eastAsia="Times New Roman" w:hAnsi="Times New Roman" w:cs="Times New Roman"/>
        </w:rPr>
        <w:t>The substantial difference in awareness scores between the experimental and control groups suggests that continuous access to safety information at the bedside plays a crucial role in reinforcing learning. Digital systems allow patients to revisit information multiple times, which supports better retention compared to traditional verbal instructions</w:t>
      </w:r>
      <w:r w:rsidR="00BD6613">
        <w:rPr>
          <w:rFonts w:ascii="Times New Roman" w:eastAsia="Times New Roman" w:hAnsi="Times New Roman" w:cs="Times New Roman"/>
        </w:rPr>
        <w:t xml:space="preserve"> </w:t>
      </w:r>
      <w:r>
        <w:rPr>
          <w:rFonts w:ascii="Times New Roman" w:eastAsia="Times New Roman" w:hAnsi="Times New Roman" w:cs="Times New Roman"/>
        </w:rPr>
        <w:t>(3).</w:t>
      </w:r>
      <w:r>
        <w:rPr>
          <w:rFonts w:ascii="Times New Roman" w:eastAsia="Times New Roman" w:hAnsi="Times New Roman" w:cs="Times New Roman"/>
          <w:b/>
          <w:bCs/>
        </w:rPr>
        <w:t xml:space="preserve"> </w:t>
      </w:r>
      <w:r>
        <w:rPr>
          <w:rFonts w:ascii="Times New Roman" w:eastAsia="Times New Roman" w:hAnsi="Times New Roman" w:cs="Times New Roman"/>
        </w:rPr>
        <w:t>Improved patient awareness is an essential step toward fostering safer behaviours and reducing preventable adverse events. By empowering patients with accessible safety information, bedside digital systems promote shared responsibility for safety and align with patient-centred care principles advocated by global safety organizations (2).</w:t>
      </w:r>
    </w:p>
    <w:p w14:paraId="1DC223CF" w14:textId="77777777" w:rsidR="002E6B46" w:rsidRDefault="00000000">
      <w:pPr>
        <w:spacing w:line="360" w:lineRule="auto"/>
        <w:ind w:left="-851" w:right="-897"/>
        <w:jc w:val="both"/>
        <w:rPr>
          <w:rFonts w:ascii="Times New Roman" w:eastAsia="Times New Roman" w:hAnsi="Times New Roman" w:cs="Times New Roman"/>
          <w:b/>
          <w:bCs/>
        </w:rPr>
      </w:pPr>
      <w:r>
        <w:rPr>
          <w:rFonts w:ascii="Times New Roman" w:eastAsia="Times New Roman" w:hAnsi="Times New Roman" w:cs="Times New Roman"/>
          <w:b/>
          <w:bCs/>
        </w:rPr>
        <w:t xml:space="preserve">Implications for Nursing Practice: </w:t>
      </w:r>
      <w:r>
        <w:rPr>
          <w:rFonts w:ascii="Times New Roman" w:eastAsia="Times New Roman" w:hAnsi="Times New Roman" w:cs="Times New Roman"/>
        </w:rPr>
        <w:t>The study highlights the importance of integrating digital innovations into nursing practice to strengthen patient education. Bedside-integrated digital safety systems can support nurses by reinforcing safety messages, reducing variability in teaching, and enhancing patient participation. Adoption of such systems may contribute to improved safety culture and quality of care in hospital settings.</w:t>
      </w:r>
    </w:p>
    <w:p w14:paraId="3BE47B70" w14:textId="77777777" w:rsidR="002E6B46" w:rsidRDefault="00000000">
      <w:pPr>
        <w:spacing w:line="360" w:lineRule="auto"/>
        <w:ind w:left="-851" w:right="-897"/>
        <w:jc w:val="both"/>
        <w:rPr>
          <w:rFonts w:ascii="Times New Roman" w:eastAsia="Times New Roman" w:hAnsi="Times New Roman" w:cs="Times New Roman"/>
          <w:b/>
          <w:bCs/>
        </w:rPr>
      </w:pPr>
      <w:r>
        <w:rPr>
          <w:rFonts w:ascii="Times New Roman" w:eastAsia="Times New Roman" w:hAnsi="Times New Roman" w:cs="Times New Roman"/>
          <w:b/>
          <w:bCs/>
        </w:rPr>
        <w:t xml:space="preserve">Limitations: </w:t>
      </w:r>
      <w:r>
        <w:rPr>
          <w:rFonts w:ascii="Times New Roman" w:eastAsia="Times New Roman" w:hAnsi="Times New Roman" w:cs="Times New Roman"/>
        </w:rPr>
        <w:t>The study assessed short-term awareness outcomes and did not evaluate long-term retention or actual safety behaviours. The findings may not be generalizable beyond similar hospital settings.</w:t>
      </w:r>
    </w:p>
    <w:p w14:paraId="47605D37" w14:textId="77777777" w:rsidR="002E6B46" w:rsidRDefault="00000000">
      <w:pPr>
        <w:spacing w:line="360" w:lineRule="auto"/>
        <w:ind w:left="-851" w:right="-897"/>
        <w:jc w:val="both"/>
        <w:rPr>
          <w:rFonts w:ascii="Times New Roman" w:eastAsia="Times New Roman" w:hAnsi="Times New Roman" w:cs="Times New Roman"/>
        </w:rPr>
      </w:pPr>
      <w:r>
        <w:rPr>
          <w:rFonts w:ascii="Times New Roman" w:eastAsia="Times New Roman" w:hAnsi="Times New Roman" w:cs="Times New Roman"/>
          <w:b/>
          <w:bCs/>
        </w:rPr>
        <w:lastRenderedPageBreak/>
        <w:t xml:space="preserve">Conclusion: </w:t>
      </w:r>
      <w:r>
        <w:rPr>
          <w:rFonts w:ascii="Times New Roman" w:eastAsia="Times New Roman" w:hAnsi="Times New Roman" w:cs="Times New Roman"/>
        </w:rPr>
        <w:t>The bedside-integrated digital safety system was found to be an effective intervention for improving patient awareness of selected hospital safety protocols. Incorporating digital safety education at the bedside represents a practical nursing innovation that can enhance patient engagement, support safer practices, and contribute to improved quality of hospital care.</w:t>
      </w:r>
    </w:p>
    <w:p w14:paraId="56E4E58A" w14:textId="77777777" w:rsidR="002E6B46" w:rsidRDefault="00000000">
      <w:pPr>
        <w:spacing w:line="360" w:lineRule="auto"/>
        <w:ind w:left="-851" w:right="-897"/>
        <w:jc w:val="both"/>
        <w:rPr>
          <w:rFonts w:ascii="Times New Roman" w:eastAsia="Times New Roman" w:hAnsi="Times New Roman" w:cs="Times New Roman"/>
        </w:rPr>
      </w:pPr>
      <w:r>
        <w:rPr>
          <w:rFonts w:ascii="Times New Roman" w:eastAsia="Times New Roman" w:hAnsi="Times New Roman" w:cs="Times New Roman"/>
          <w:b/>
          <w:bCs/>
        </w:rPr>
        <w:t>Declaration</w:t>
      </w:r>
      <w:r>
        <w:rPr>
          <w:rFonts w:ascii="Times New Roman" w:eastAsia="Times New Roman" w:hAnsi="Times New Roman" w:cs="Times New Roman"/>
        </w:rPr>
        <w:t>:</w:t>
      </w:r>
    </w:p>
    <w:p w14:paraId="2646C1D1" w14:textId="79070076" w:rsidR="002E6B46" w:rsidRDefault="00000000">
      <w:pPr>
        <w:spacing w:line="360" w:lineRule="auto"/>
        <w:ind w:left="-851" w:right="-897"/>
        <w:jc w:val="both"/>
        <w:rPr>
          <w:rFonts w:ascii="Times New Roman" w:eastAsia="Times New Roman" w:hAnsi="Times New Roman" w:cs="Times New Roman"/>
        </w:rPr>
      </w:pPr>
      <w:r>
        <w:rPr>
          <w:rFonts w:ascii="Times New Roman" w:eastAsia="Times New Roman" w:hAnsi="Times New Roman" w:cs="Times New Roman"/>
        </w:rPr>
        <w:t>The author declares that there is no conflict of interest related to this study or its publication. This study did not receive any specific financial support from any funding agency in the public, commercial, or profit sectors. During the preparation of this manuscript, artificial intelligence tools were used only for language editing and grammar improvement. The research idea, study design, data collection, data analysis, interpretation of results, and preparation of the manuscript were carried out by the author. The author takes full responsibility for the accuracy and originality of the work.</w:t>
      </w:r>
    </w:p>
    <w:p w14:paraId="03862ADF" w14:textId="77777777" w:rsidR="002E6B46" w:rsidRDefault="002E6B46">
      <w:pPr>
        <w:spacing w:line="360" w:lineRule="auto"/>
        <w:ind w:left="-851" w:right="-897"/>
        <w:jc w:val="both"/>
        <w:rPr>
          <w:rFonts w:ascii="Times New Roman" w:eastAsia="Times New Roman" w:hAnsi="Times New Roman" w:cs="Times New Roman"/>
        </w:rPr>
      </w:pPr>
    </w:p>
    <w:p w14:paraId="4D276C7A" w14:textId="77777777" w:rsidR="002E6B46" w:rsidRDefault="00000000">
      <w:pPr>
        <w:spacing w:line="360" w:lineRule="auto"/>
        <w:ind w:left="-851" w:right="-897"/>
        <w:jc w:val="both"/>
        <w:rPr>
          <w:rFonts w:ascii="Times New Roman" w:eastAsia="Times New Roman" w:hAnsi="Times New Roman" w:cs="Times New Roman"/>
          <w:b/>
          <w:bCs/>
        </w:rPr>
      </w:pPr>
      <w:r>
        <w:rPr>
          <w:rFonts w:ascii="Times New Roman" w:eastAsia="Times New Roman" w:hAnsi="Times New Roman" w:cs="Times New Roman"/>
          <w:b/>
          <w:bCs/>
        </w:rPr>
        <w:t>References</w:t>
      </w:r>
    </w:p>
    <w:p w14:paraId="7C795863" w14:textId="77777777" w:rsidR="002E6B46" w:rsidRDefault="00000000">
      <w:pPr>
        <w:numPr>
          <w:ilvl w:val="0"/>
          <w:numId w:val="1"/>
        </w:numPr>
        <w:spacing w:line="360" w:lineRule="auto"/>
        <w:ind w:left="-851" w:right="-897"/>
        <w:jc w:val="both"/>
        <w:rPr>
          <w:rFonts w:ascii="Times New Roman" w:eastAsia="Times New Roman" w:hAnsi="Times New Roman" w:cs="Times New Roman"/>
        </w:rPr>
      </w:pPr>
      <w:r>
        <w:rPr>
          <w:rFonts w:ascii="Times New Roman" w:eastAsia="Times New Roman" w:hAnsi="Times New Roman" w:cs="Times New Roman"/>
        </w:rPr>
        <w:t>World Health Organization. Global patient safety action plan 2021–2030: towards eliminating avoidable harm in health care. Geneva: World Health Organization; 2024.</w:t>
      </w:r>
    </w:p>
    <w:p w14:paraId="5640C686" w14:textId="77777777" w:rsidR="002E6B46" w:rsidRDefault="00000000">
      <w:pPr>
        <w:numPr>
          <w:ilvl w:val="0"/>
          <w:numId w:val="1"/>
        </w:numPr>
        <w:spacing w:line="360" w:lineRule="auto"/>
        <w:ind w:left="-851" w:right="-897"/>
        <w:jc w:val="both"/>
        <w:rPr>
          <w:rFonts w:ascii="Times New Roman" w:eastAsia="Times New Roman" w:hAnsi="Times New Roman" w:cs="Times New Roman"/>
        </w:rPr>
      </w:pPr>
      <w:r>
        <w:rPr>
          <w:rFonts w:ascii="Times New Roman" w:eastAsia="Times New Roman" w:hAnsi="Times New Roman" w:cs="Times New Roman"/>
        </w:rPr>
        <w:t>World Health Organization. Patient safety fact sheet. Geneva: World Health Organization; 2024.</w:t>
      </w:r>
    </w:p>
    <w:p w14:paraId="0E0CE690" w14:textId="77777777" w:rsidR="002E6B46" w:rsidRDefault="00000000">
      <w:pPr>
        <w:numPr>
          <w:ilvl w:val="0"/>
          <w:numId w:val="1"/>
        </w:numPr>
        <w:spacing w:line="360" w:lineRule="auto"/>
        <w:ind w:left="-851" w:right="-897"/>
        <w:jc w:val="both"/>
        <w:rPr>
          <w:rFonts w:ascii="Times New Roman" w:eastAsia="Times New Roman" w:hAnsi="Times New Roman" w:cs="Times New Roman"/>
        </w:rPr>
      </w:pPr>
      <w:r>
        <w:rPr>
          <w:rFonts w:ascii="Times New Roman" w:eastAsia="Times New Roman" w:hAnsi="Times New Roman" w:cs="Times New Roman"/>
        </w:rPr>
        <w:t>Polit DF, Beck CT. Nursing research: generating and assessing evidence for nursing practice. 11th ed. Philadelphia: Wolters Kluwer; 2021.</w:t>
      </w:r>
    </w:p>
    <w:p w14:paraId="1FF5DAA9" w14:textId="77777777" w:rsidR="002E6B46" w:rsidRDefault="00000000">
      <w:pPr>
        <w:numPr>
          <w:ilvl w:val="0"/>
          <w:numId w:val="1"/>
        </w:numPr>
        <w:spacing w:line="360" w:lineRule="auto"/>
        <w:ind w:left="-851" w:right="-897"/>
        <w:jc w:val="both"/>
        <w:rPr>
          <w:rFonts w:ascii="Times New Roman" w:eastAsia="Times New Roman" w:hAnsi="Times New Roman" w:cs="Times New Roman"/>
        </w:rPr>
      </w:pPr>
      <w:r>
        <w:rPr>
          <w:rFonts w:ascii="Times New Roman" w:eastAsia="Times New Roman" w:hAnsi="Times New Roman" w:cs="Times New Roman"/>
        </w:rPr>
        <w:t>Grove SK, Gray JR, Burns N. Understanding nursing research: building an evidence-based practice. 8th ed. St. Louis: Elsevier; 2021.</w:t>
      </w:r>
    </w:p>
    <w:p w14:paraId="35D24FA6" w14:textId="77777777" w:rsidR="002E6B46" w:rsidRDefault="00000000">
      <w:pPr>
        <w:numPr>
          <w:ilvl w:val="0"/>
          <w:numId w:val="1"/>
        </w:numPr>
        <w:spacing w:line="360" w:lineRule="auto"/>
        <w:ind w:left="-851" w:right="-897"/>
        <w:jc w:val="both"/>
        <w:rPr>
          <w:rFonts w:ascii="Times New Roman" w:eastAsia="Times New Roman" w:hAnsi="Times New Roman" w:cs="Times New Roman"/>
        </w:rPr>
      </w:pPr>
      <w:r>
        <w:rPr>
          <w:rFonts w:ascii="Times New Roman" w:eastAsia="Times New Roman" w:hAnsi="Times New Roman" w:cs="Times New Roman"/>
        </w:rPr>
        <w:t>Journal of Medical Internet Research. Digital health interventions and patient engagement in hospital settings. J Med Internet Res. 2024.</w:t>
      </w:r>
    </w:p>
    <w:p w14:paraId="60466D5E" w14:textId="77777777" w:rsidR="002E6B46" w:rsidRDefault="00000000">
      <w:pPr>
        <w:numPr>
          <w:ilvl w:val="0"/>
          <w:numId w:val="1"/>
        </w:numPr>
        <w:spacing w:line="360" w:lineRule="auto"/>
        <w:ind w:left="-851" w:right="-897"/>
        <w:jc w:val="both"/>
        <w:rPr>
          <w:rFonts w:ascii="Times New Roman" w:eastAsia="Times New Roman" w:hAnsi="Times New Roman" w:cs="Times New Roman"/>
        </w:rPr>
      </w:pPr>
      <w:r>
        <w:rPr>
          <w:rFonts w:ascii="Times New Roman" w:eastAsia="Times New Roman" w:hAnsi="Times New Roman" w:cs="Times New Roman"/>
        </w:rPr>
        <w:t>BMC Nursing. Digital innovations in nursing practice and patient safety outcomes. BMC Nurs. 2024.</w:t>
      </w:r>
    </w:p>
    <w:p w14:paraId="08DE95BB" w14:textId="77777777" w:rsidR="002E6B46" w:rsidRDefault="002E6B46">
      <w:pPr>
        <w:spacing w:line="360" w:lineRule="auto"/>
        <w:ind w:left="-851" w:right="-897"/>
        <w:jc w:val="both"/>
        <w:rPr>
          <w:rFonts w:ascii="Times New Roman" w:eastAsia="Times New Roman" w:hAnsi="Times New Roman" w:cs="Times New Roman"/>
        </w:rPr>
      </w:pPr>
    </w:p>
    <w:sectPr w:rsidR="002E6B46">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E0050E43-F2C8-4EDD-A88B-D10C51A611F3}"/>
    <w:embedItalic r:id="rId2" w:fontKey="{9A98165D-EBFC-4AF3-B6C0-94C409102401}"/>
  </w:font>
  <w:font w:name="Play">
    <w:charset w:val="00"/>
    <w:family w:val="auto"/>
    <w:pitch w:val="default"/>
    <w:embedRegular r:id="rId3" w:fontKey="{58E5A688-970E-414E-AE9E-03188E904503}"/>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4" w:fontKey="{132C7DF0-7689-410B-B37F-6734C903287F}"/>
  </w:font>
  <w:font w:name="Calibri">
    <w:panose1 w:val="020F0502020204030204"/>
    <w:charset w:val="00"/>
    <w:family w:val="swiss"/>
    <w:pitch w:val="variable"/>
    <w:sig w:usb0="E4002EFF" w:usb1="C200247B" w:usb2="00000009" w:usb3="00000000" w:csb0="000001FF" w:csb1="00000000"/>
    <w:embedRegular r:id="rId5" w:fontKey="{CF9A68DC-61D9-469E-853F-AE90B8A6E42A}"/>
    <w:embedBold r:id="rId6" w:fontKey="{2E93E1C1-9D11-42EB-886B-8A6BF3E45C9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A10D99"/>
    <w:multiLevelType w:val="multilevel"/>
    <w:tmpl w:val="5BB48C6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223447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B46"/>
    <w:rsid w:val="002E6B46"/>
    <w:rsid w:val="007D65CA"/>
    <w:rsid w:val="00BD661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EF521"/>
  <w15:docId w15:val="{35CE8D09-FC30-414E-A510-2B98C4FB7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IN" w:eastAsia="en-I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AE1B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1B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1B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AE1B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1B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1B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1B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1B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1B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1B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1B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1B67"/>
    <w:rPr>
      <w:rFonts w:eastAsiaTheme="majorEastAsia" w:cstheme="majorBidi"/>
      <w:color w:val="272727" w:themeColor="text1" w:themeTint="D8"/>
    </w:rPr>
  </w:style>
  <w:style w:type="character" w:customStyle="1" w:styleId="TitleChar">
    <w:name w:val="Title Char"/>
    <w:basedOn w:val="DefaultParagraphFont"/>
    <w:link w:val="Title"/>
    <w:uiPriority w:val="10"/>
    <w:rsid w:val="00AE1B67"/>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AE1B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1B67"/>
    <w:pPr>
      <w:spacing w:before="160"/>
      <w:jc w:val="center"/>
    </w:pPr>
    <w:rPr>
      <w:i/>
      <w:iCs/>
      <w:color w:val="404040" w:themeColor="text1" w:themeTint="BF"/>
    </w:rPr>
  </w:style>
  <w:style w:type="character" w:customStyle="1" w:styleId="QuoteChar">
    <w:name w:val="Quote Char"/>
    <w:basedOn w:val="DefaultParagraphFont"/>
    <w:link w:val="Quote"/>
    <w:uiPriority w:val="29"/>
    <w:rsid w:val="00AE1B67"/>
    <w:rPr>
      <w:i/>
      <w:iCs/>
      <w:color w:val="404040" w:themeColor="text1" w:themeTint="BF"/>
    </w:rPr>
  </w:style>
  <w:style w:type="paragraph" w:styleId="ListParagraph">
    <w:name w:val="List Paragraph"/>
    <w:basedOn w:val="Normal"/>
    <w:uiPriority w:val="34"/>
    <w:qFormat/>
    <w:rsid w:val="00AE1B67"/>
    <w:pPr>
      <w:ind w:left="720"/>
      <w:contextualSpacing/>
    </w:pPr>
  </w:style>
  <w:style w:type="character" w:styleId="IntenseEmphasis">
    <w:name w:val="Intense Emphasis"/>
    <w:basedOn w:val="DefaultParagraphFont"/>
    <w:uiPriority w:val="21"/>
    <w:qFormat/>
    <w:rsid w:val="00AE1B67"/>
    <w:rPr>
      <w:i/>
      <w:iCs/>
      <w:color w:val="0F4761" w:themeColor="accent1" w:themeShade="BF"/>
    </w:rPr>
  </w:style>
  <w:style w:type="paragraph" w:styleId="IntenseQuote">
    <w:name w:val="Intense Quote"/>
    <w:basedOn w:val="Normal"/>
    <w:next w:val="Normal"/>
    <w:link w:val="IntenseQuoteChar"/>
    <w:uiPriority w:val="30"/>
    <w:qFormat/>
    <w:rsid w:val="00AE1B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1B67"/>
    <w:rPr>
      <w:i/>
      <w:iCs/>
      <w:color w:val="0F4761" w:themeColor="accent1" w:themeShade="BF"/>
    </w:rPr>
  </w:style>
  <w:style w:type="character" w:styleId="IntenseReference">
    <w:name w:val="Intense Reference"/>
    <w:basedOn w:val="DefaultParagraphFont"/>
    <w:uiPriority w:val="32"/>
    <w:qFormat/>
    <w:rsid w:val="00AE1B67"/>
    <w:rPr>
      <w:b/>
      <w:bCs/>
      <w:smallCaps/>
      <w:color w:val="0F4761" w:themeColor="accent1" w:themeShade="BF"/>
      <w:spacing w:val="5"/>
    </w:rPr>
  </w:style>
  <w:style w:type="paragraph" w:styleId="Subtitle">
    <w:name w:val="Subtitle"/>
    <w:basedOn w:val="Normal"/>
    <w:next w:val="Normal"/>
    <w:link w:val="SubtitleChar"/>
    <w:uiPriority w:val="11"/>
    <w:qFormat/>
    <w:rPr>
      <w:color w:val="595959"/>
      <w:sz w:val="28"/>
      <w:szCs w:val="2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RYYze9+QNeH+sh+bKk2h4k+D3A==">CgMxLjA4AHIhMVZaQU91Tl90ZVY3REphXzZrS2JhdkE3TlEwd2haMEVC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1945</Words>
  <Characters>11088</Characters>
  <Application>Microsoft Office Word</Application>
  <DocSecurity>0</DocSecurity>
  <Lines>92</Lines>
  <Paragraphs>26</Paragraphs>
  <ScaleCrop>false</ScaleCrop>
  <Company/>
  <LinksUpToDate>false</LinksUpToDate>
  <CharactersWithSpaces>13007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Jovita Alex</dc:creator>
  <cp:lastModifiedBy>Jovita Alex</cp:lastModifiedBy>
  <cp:revision>2</cp:revision>
  <dcterms:created xsi:type="dcterms:W3CDTF">2025-12-31T03:36:00Z</dcterms:created>
  <dcterms:modified xsi:type="dcterms:W3CDTF">2026-03-16T15:28:00Z</dcterms:modified>
</cp:coreProperties>
</file>