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8A84F" w14:textId="15A1AE62" w:rsid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Effectiveness of Video-Assisted Learning on Knowledge Regarding Sexual Health and Sexual Assault Among Adolescent Girls in Selected Schools</w:t>
      </w:r>
    </w:p>
    <w:p w14:paraId="429DE35E" w14:textId="40BAFF51" w:rsidR="00C371C9" w:rsidRPr="00C371C9" w:rsidRDefault="00C371C9" w:rsidP="00C371C9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                                                                                                       </w:t>
      </w:r>
      <w:r w:rsidRPr="00C371C9">
        <w:rPr>
          <w:rFonts w:ascii="Times New Roman" w:eastAsia="Times New Roman" w:hAnsi="Times New Roman" w:cs="Times New Roman"/>
          <w:b/>
          <w:bCs/>
          <w:color w:val="000000" w:themeColor="text1"/>
        </w:rPr>
        <w:t>Mrs. Ashwini Shinde 1</w:t>
      </w:r>
    </w:p>
    <w:p w14:paraId="1F3A9523" w14:textId="555AC8B6" w:rsidR="00C371C9" w:rsidRDefault="00C371C9" w:rsidP="00C371C9">
      <w:pPr>
        <w:spacing w:line="24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C371C9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Assistant professor of Community Health </w:t>
      </w:r>
      <w:r w:rsidRPr="00C371C9">
        <w:rPr>
          <w:rFonts w:ascii="Times New Roman" w:eastAsia="Times New Roman" w:hAnsi="Times New Roman" w:cs="Times New Roman"/>
          <w:b/>
          <w:bCs/>
          <w:color w:val="000000" w:themeColor="text1"/>
        </w:rPr>
        <w:t>Nursing,</w:t>
      </w:r>
    </w:p>
    <w:p w14:paraId="31766D64" w14:textId="16D2D320" w:rsidR="00C371C9" w:rsidRPr="00C371C9" w:rsidRDefault="00C371C9" w:rsidP="00C371C9">
      <w:pPr>
        <w:spacing w:line="24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C371C9">
        <w:rPr>
          <w:rFonts w:ascii="Times New Roman" w:eastAsia="Times New Roman" w:hAnsi="Times New Roman" w:cs="Times New Roman"/>
          <w:b/>
          <w:bCs/>
          <w:color w:val="000000" w:themeColor="text1"/>
        </w:rPr>
        <w:t>MKSSSBTINE, MUHS</w:t>
      </w:r>
      <w:r w:rsidRPr="00C371C9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University,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 </w:t>
      </w:r>
    </w:p>
    <w:p w14:paraId="2AF032BF" w14:textId="77777777" w:rsidR="00C371C9" w:rsidRPr="00C371C9" w:rsidRDefault="00C371C9" w:rsidP="00C371C9">
      <w:pPr>
        <w:spacing w:line="24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C371C9">
        <w:rPr>
          <w:rFonts w:ascii="Times New Roman" w:eastAsia="Times New Roman" w:hAnsi="Times New Roman" w:cs="Times New Roman"/>
          <w:b/>
          <w:bCs/>
          <w:color w:val="000000" w:themeColor="text1"/>
        </w:rPr>
        <w:t>Pune, India</w:t>
      </w:r>
    </w:p>
    <w:p w14:paraId="7B9296A3" w14:textId="787012D4" w:rsidR="00C371C9" w:rsidRPr="00DA078C" w:rsidRDefault="00C371C9" w:rsidP="00C371C9">
      <w:pPr>
        <w:spacing w:line="24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C371C9">
        <w:rPr>
          <w:rFonts w:ascii="Times New Roman" w:eastAsia="Times New Roman" w:hAnsi="Times New Roman" w:cs="Times New Roman"/>
          <w:b/>
          <w:bCs/>
          <w:color w:val="000000" w:themeColor="text1"/>
        </w:rPr>
        <w:t>E-mail: ashshinde7911@gmail.in</w:t>
      </w:r>
    </w:p>
    <w:p w14:paraId="3BA41FB2" w14:textId="77777777" w:rsidR="00510DB6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Abstract</w:t>
      </w:r>
    </w:p>
    <w:p w14:paraId="758A35DE" w14:textId="4654BB59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Background</w:t>
      </w:r>
    </w:p>
    <w:p w14:paraId="52417118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Adolescent girls often have inadequate knowledge regarding sexual health and sexual assault, which increases their vulnerability to health risks and exploitation. School-based educational interventions using audiovisual methods may enhance understanding and retention of sensitive health information.</w:t>
      </w:r>
    </w:p>
    <w:p w14:paraId="339C91D7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Objective</w:t>
      </w:r>
    </w:p>
    <w:p w14:paraId="1893C311" w14:textId="00255F9B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To evaluate the effectiveness of video-assisted learning on knowledge regarding sexual health and sexual assault among adolescent girls.</w:t>
      </w:r>
    </w:p>
    <w:p w14:paraId="77AF3478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Methods</w:t>
      </w:r>
    </w:p>
    <w:p w14:paraId="177CE2DF" w14:textId="734799A8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A pre-experimental one-group pre-test post-test design was adopted. Seventy-six adolescent girls were selected from selected schools using non-probability purposive sampling. Data were collected using a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structured knowledge questionnaire consisting of 20 multiple-choice questions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related to sexual health, reproductive changes, menstrual hygiene, safe practices, sexual assault awareness, prevention strategies, and support services (score range: 0–20).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br/>
        <w:t xml:space="preserve">The tool was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validated by experts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in nursing and community health, and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reliability was established</w:t>
      </w:r>
      <w:r w:rsidR="00206683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using KR-20 (r = 0.78)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>.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br/>
        <w:t xml:space="preserve">A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45-minute video-assisted learning session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was administered after the pre-test. The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post-test was conducted seven days after the intervention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using the same questionnaire. Data were </w:t>
      </w:r>
      <w:r w:rsidR="00206683" w:rsidRPr="00DA078C">
        <w:rPr>
          <w:rFonts w:ascii="Times New Roman" w:eastAsia="Times New Roman" w:hAnsi="Times New Roman" w:cs="Times New Roman"/>
          <w:color w:val="000000" w:themeColor="text1"/>
        </w:rPr>
        <w:t>analysed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using descriptive statistics and paired </w:t>
      </w:r>
      <w:r w:rsidRPr="00DA078C">
        <w:rPr>
          <w:rFonts w:ascii="Times New Roman" w:eastAsia="Times New Roman" w:hAnsi="Times New Roman" w:cs="Times New Roman"/>
          <w:i/>
          <w:iCs/>
          <w:color w:val="000000" w:themeColor="text1"/>
        </w:rPr>
        <w:t>t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>-test.</w:t>
      </w:r>
    </w:p>
    <w:p w14:paraId="2D18417B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Results</w:t>
      </w:r>
    </w:p>
    <w:p w14:paraId="1694D591" w14:textId="4797767F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The mean pre-test knowledge score was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11.25 ± 2.45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, indicating a moderate level of baseline knowledge. The mean post-test score increased significantly to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16.80 ± 1.95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. The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mean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lastRenderedPageBreak/>
        <w:t>difference was 5.55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. Paired </w:t>
      </w:r>
      <w:r w:rsidRPr="00DA078C">
        <w:rPr>
          <w:rFonts w:ascii="Times New Roman" w:eastAsia="Times New Roman" w:hAnsi="Times New Roman" w:cs="Times New Roman"/>
          <w:i/>
          <w:iCs/>
          <w:color w:val="000000" w:themeColor="text1"/>
        </w:rPr>
        <w:t>t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-test analysis showed a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highly significant improvement in knowledge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DA078C">
        <w:rPr>
          <w:rFonts w:ascii="Times New Roman" w:eastAsia="Times New Roman" w:hAnsi="Times New Roman" w:cs="Times New Roman"/>
          <w:i/>
          <w:iCs/>
          <w:color w:val="000000" w:themeColor="text1"/>
        </w:rPr>
        <w:t>t</w:t>
      </w:r>
      <w:r w:rsidRPr="00396891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(75) =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18.5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r w:rsidRPr="00DA078C">
        <w:rPr>
          <w:rFonts w:ascii="Times New Roman" w:eastAsia="Times New Roman" w:hAnsi="Times New Roman" w:cs="Times New Roman"/>
          <w:i/>
          <w:iCs/>
          <w:color w:val="000000" w:themeColor="text1"/>
        </w:rPr>
        <w:t>p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&lt; 0.001).</w:t>
      </w:r>
    </w:p>
    <w:p w14:paraId="66D1D2E5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Conclusion</w:t>
      </w:r>
    </w:p>
    <w:p w14:paraId="1A949660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Video-assisted learning was found to be highly effective in improving knowledge regarding sexual health and sexual assault among adolescent girls. Incorporation of structured multimedia-based sexual health education programs in schools is strongly recommended.</w:t>
      </w:r>
    </w:p>
    <w:p w14:paraId="7829697F" w14:textId="45FF8B6B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Keywords: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Adolescents, Sexual Health, Sexual Assault, Video-Assisted Learning, Knowledge</w:t>
      </w:r>
    </w:p>
    <w:p w14:paraId="67C12EFC" w14:textId="1B637DC1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Methodology </w:t>
      </w:r>
    </w:p>
    <w:p w14:paraId="79347181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Research Design</w:t>
      </w:r>
    </w:p>
    <w:p w14:paraId="6BF35AA5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Pre-experimental one-group pre-test post-test design.</w:t>
      </w:r>
    </w:p>
    <w:p w14:paraId="71E964A6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Sample</w:t>
      </w:r>
    </w:p>
    <w:p w14:paraId="21C7261F" w14:textId="77777777" w:rsidR="00DA078C" w:rsidRPr="00DA078C" w:rsidRDefault="00DA078C" w:rsidP="00DA078C">
      <w:pPr>
        <w:numPr>
          <w:ilvl w:val="0"/>
          <w:numId w:val="27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Sample size: 76 adolescent girls</w:t>
      </w:r>
    </w:p>
    <w:p w14:paraId="700E49CD" w14:textId="77777777" w:rsidR="00DA078C" w:rsidRPr="00DA078C" w:rsidRDefault="00DA078C" w:rsidP="00DA078C">
      <w:pPr>
        <w:numPr>
          <w:ilvl w:val="0"/>
          <w:numId w:val="27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Sampling technique: Non-probability purposive sampling</w:t>
      </w:r>
    </w:p>
    <w:p w14:paraId="6F3235CE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Tool Description</w:t>
      </w:r>
    </w:p>
    <w:p w14:paraId="7447153F" w14:textId="77777777" w:rsidR="00DA078C" w:rsidRPr="00DA078C" w:rsidRDefault="00DA078C" w:rsidP="00DA078C">
      <w:pPr>
        <w:numPr>
          <w:ilvl w:val="0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Structured knowledge questionnaire</w:t>
      </w:r>
    </w:p>
    <w:p w14:paraId="66070400" w14:textId="77777777" w:rsidR="00DA078C" w:rsidRPr="00DA078C" w:rsidRDefault="00DA078C" w:rsidP="00DA078C">
      <w:pPr>
        <w:numPr>
          <w:ilvl w:val="0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20 multiple-choice questions</w:t>
      </w:r>
    </w:p>
    <w:p w14:paraId="3631666B" w14:textId="77777777" w:rsidR="00DA078C" w:rsidRPr="00DA078C" w:rsidRDefault="00DA078C" w:rsidP="00DA078C">
      <w:pPr>
        <w:numPr>
          <w:ilvl w:val="0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Score range: 0–20</w:t>
      </w:r>
    </w:p>
    <w:p w14:paraId="2032D85C" w14:textId="77777777" w:rsidR="00DA078C" w:rsidRPr="00DA078C" w:rsidRDefault="00DA078C" w:rsidP="00DA078C">
      <w:pPr>
        <w:numPr>
          <w:ilvl w:val="0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Content areas:</w:t>
      </w:r>
    </w:p>
    <w:p w14:paraId="59A311D2" w14:textId="77777777" w:rsidR="00DA078C" w:rsidRPr="00DA078C" w:rsidRDefault="00DA078C" w:rsidP="00DA078C">
      <w:pPr>
        <w:numPr>
          <w:ilvl w:val="1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Sexual health</w:t>
      </w:r>
    </w:p>
    <w:p w14:paraId="5FEF7B4E" w14:textId="77777777" w:rsidR="00DA078C" w:rsidRPr="00DA078C" w:rsidRDefault="00DA078C" w:rsidP="00DA078C">
      <w:pPr>
        <w:numPr>
          <w:ilvl w:val="1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Reproductive changes</w:t>
      </w:r>
    </w:p>
    <w:p w14:paraId="015A4D43" w14:textId="77777777" w:rsidR="00DA078C" w:rsidRPr="00DA078C" w:rsidRDefault="00DA078C" w:rsidP="00DA078C">
      <w:pPr>
        <w:numPr>
          <w:ilvl w:val="1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Menstrual hygiene</w:t>
      </w:r>
    </w:p>
    <w:p w14:paraId="0052A25D" w14:textId="77777777" w:rsidR="00DA078C" w:rsidRPr="00DA078C" w:rsidRDefault="00DA078C" w:rsidP="00DA078C">
      <w:pPr>
        <w:numPr>
          <w:ilvl w:val="1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Safe practices</w:t>
      </w:r>
    </w:p>
    <w:p w14:paraId="7D2B84E7" w14:textId="77777777" w:rsidR="00DA078C" w:rsidRPr="00DA078C" w:rsidRDefault="00DA078C" w:rsidP="00DA078C">
      <w:pPr>
        <w:numPr>
          <w:ilvl w:val="1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Sexual assault awareness and prevention</w:t>
      </w:r>
    </w:p>
    <w:p w14:paraId="09968353" w14:textId="77777777" w:rsidR="00DA078C" w:rsidRPr="00DA078C" w:rsidRDefault="00DA078C" w:rsidP="00DA078C">
      <w:pPr>
        <w:numPr>
          <w:ilvl w:val="1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Support services</w:t>
      </w:r>
    </w:p>
    <w:p w14:paraId="5E4665F5" w14:textId="77777777" w:rsidR="00510DB6" w:rsidRDefault="00DA078C" w:rsidP="00510DB6">
      <w:pPr>
        <w:numPr>
          <w:ilvl w:val="0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Validity: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Content validity established by experts</w:t>
      </w:r>
    </w:p>
    <w:p w14:paraId="10BB8B68" w14:textId="1AE85660" w:rsidR="00DA078C" w:rsidRPr="00510DB6" w:rsidRDefault="00DA078C" w:rsidP="00510DB6">
      <w:pPr>
        <w:numPr>
          <w:ilvl w:val="0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510DB6">
        <w:rPr>
          <w:rFonts w:ascii="Times New Roman" w:eastAsia="Times New Roman" w:hAnsi="Times New Roman" w:cs="Times New Roman"/>
          <w:b/>
          <w:bCs/>
          <w:color w:val="000000" w:themeColor="text1"/>
        </w:rPr>
        <w:lastRenderedPageBreak/>
        <w:t>Reliability:</w:t>
      </w:r>
      <w:r w:rsidRPr="00510DB6">
        <w:rPr>
          <w:rFonts w:ascii="Times New Roman" w:eastAsia="Times New Roman" w:hAnsi="Times New Roman" w:cs="Times New Roman"/>
          <w:color w:val="000000" w:themeColor="text1"/>
        </w:rPr>
        <w:t xml:space="preserve"> KR-20 = 0.78</w:t>
      </w:r>
    </w:p>
    <w:p w14:paraId="05DFC890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Intervention</w:t>
      </w:r>
    </w:p>
    <w:p w14:paraId="751DDD21" w14:textId="77777777" w:rsidR="00DA078C" w:rsidRPr="00DA078C" w:rsidRDefault="00DA078C" w:rsidP="00DA078C">
      <w:pPr>
        <w:numPr>
          <w:ilvl w:val="0"/>
          <w:numId w:val="29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45-minute video-assisted learning session</w:t>
      </w:r>
    </w:p>
    <w:p w14:paraId="15B92A42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Timing</w:t>
      </w:r>
    </w:p>
    <w:p w14:paraId="695F97ED" w14:textId="0CA00726" w:rsidR="00DA078C" w:rsidRPr="00DA078C" w:rsidRDefault="00DA078C" w:rsidP="00DA078C">
      <w:pPr>
        <w:numPr>
          <w:ilvl w:val="0"/>
          <w:numId w:val="30"/>
        </w:num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Pre-test → VAL intervention →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Post-test after 7 days</w:t>
      </w:r>
    </w:p>
    <w:p w14:paraId="135447A0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Results</w:t>
      </w:r>
    </w:p>
    <w:p w14:paraId="234C8783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Effectiveness of Video-Assisted Learning</w:t>
      </w:r>
    </w:p>
    <w:p w14:paraId="378B4008" w14:textId="75861574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A paired </w:t>
      </w:r>
      <w:r w:rsidRPr="00DA078C">
        <w:rPr>
          <w:rFonts w:ascii="Times New Roman" w:eastAsia="Times New Roman" w:hAnsi="Times New Roman" w:cs="Times New Roman"/>
          <w:i/>
          <w:iCs/>
          <w:color w:val="000000" w:themeColor="text1"/>
        </w:rPr>
        <w:t>t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>-test was used to compare pre-test and post-test knowledge scores to determine the effectiveness of the video-assisted learning intervention.</w:t>
      </w:r>
    </w:p>
    <w:p w14:paraId="74243EF5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Table 1: Comparison of Pre-Test and Post-Test Knowledge Scores (N = 76)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"/>
        <w:gridCol w:w="647"/>
        <w:gridCol w:w="480"/>
        <w:gridCol w:w="1773"/>
        <w:gridCol w:w="734"/>
        <w:gridCol w:w="812"/>
      </w:tblGrid>
      <w:tr w:rsidR="00396891" w:rsidRPr="00396891" w14:paraId="28A1A60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D9024DB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Test</w:t>
            </w:r>
          </w:p>
        </w:tc>
        <w:tc>
          <w:tcPr>
            <w:tcW w:w="0" w:type="auto"/>
            <w:vAlign w:val="center"/>
            <w:hideMark/>
          </w:tcPr>
          <w:p w14:paraId="0DE2B61C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Mean</w:t>
            </w:r>
          </w:p>
        </w:tc>
        <w:tc>
          <w:tcPr>
            <w:tcW w:w="0" w:type="auto"/>
            <w:vAlign w:val="center"/>
            <w:hideMark/>
          </w:tcPr>
          <w:p w14:paraId="4D710DC3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SD</w:t>
            </w:r>
          </w:p>
        </w:tc>
        <w:tc>
          <w:tcPr>
            <w:tcW w:w="0" w:type="auto"/>
            <w:vAlign w:val="center"/>
            <w:hideMark/>
          </w:tcPr>
          <w:p w14:paraId="0529D785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Mean Difference</w:t>
            </w:r>
          </w:p>
        </w:tc>
        <w:tc>
          <w:tcPr>
            <w:tcW w:w="0" w:type="auto"/>
            <w:vAlign w:val="center"/>
            <w:hideMark/>
          </w:tcPr>
          <w:p w14:paraId="313DCF73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</w:rPr>
              <w:t>t</w:t>
            </w:r>
            <w:r w:rsidRPr="00DA07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value</w:t>
            </w:r>
          </w:p>
        </w:tc>
        <w:tc>
          <w:tcPr>
            <w:tcW w:w="0" w:type="auto"/>
            <w:vAlign w:val="center"/>
            <w:hideMark/>
          </w:tcPr>
          <w:p w14:paraId="2B4C4938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</w:rPr>
              <w:t>p</w:t>
            </w:r>
            <w:r w:rsidRPr="00DA07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value</w:t>
            </w:r>
          </w:p>
        </w:tc>
      </w:tr>
      <w:tr w:rsidR="00396891" w:rsidRPr="00396891" w14:paraId="2A1EEE2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6B860D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color w:val="000000" w:themeColor="text1"/>
              </w:rPr>
              <w:t>Pre-test</w:t>
            </w:r>
          </w:p>
        </w:tc>
        <w:tc>
          <w:tcPr>
            <w:tcW w:w="0" w:type="auto"/>
            <w:vAlign w:val="center"/>
            <w:hideMark/>
          </w:tcPr>
          <w:p w14:paraId="2402984F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color w:val="000000" w:themeColor="text1"/>
              </w:rPr>
              <w:t>11.25</w:t>
            </w:r>
          </w:p>
        </w:tc>
        <w:tc>
          <w:tcPr>
            <w:tcW w:w="0" w:type="auto"/>
            <w:vAlign w:val="center"/>
            <w:hideMark/>
          </w:tcPr>
          <w:p w14:paraId="1299E4A5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color w:val="000000" w:themeColor="text1"/>
              </w:rPr>
              <w:t>2.45</w:t>
            </w:r>
          </w:p>
        </w:tc>
        <w:tc>
          <w:tcPr>
            <w:tcW w:w="0" w:type="auto"/>
            <w:vAlign w:val="center"/>
            <w:hideMark/>
          </w:tcPr>
          <w:p w14:paraId="34E54E88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  <w:hideMark/>
          </w:tcPr>
          <w:p w14:paraId="5C0280E9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  <w:hideMark/>
          </w:tcPr>
          <w:p w14:paraId="67184BC0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396891" w:rsidRPr="00396891" w14:paraId="5306602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A3FDA0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color w:val="000000" w:themeColor="text1"/>
              </w:rPr>
              <w:t>Post-test</w:t>
            </w:r>
          </w:p>
        </w:tc>
        <w:tc>
          <w:tcPr>
            <w:tcW w:w="0" w:type="auto"/>
            <w:vAlign w:val="center"/>
            <w:hideMark/>
          </w:tcPr>
          <w:p w14:paraId="5145D5B1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color w:val="000000" w:themeColor="text1"/>
              </w:rPr>
              <w:t>16.80</w:t>
            </w:r>
          </w:p>
        </w:tc>
        <w:tc>
          <w:tcPr>
            <w:tcW w:w="0" w:type="auto"/>
            <w:vAlign w:val="center"/>
            <w:hideMark/>
          </w:tcPr>
          <w:p w14:paraId="7F23B6CC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color w:val="000000" w:themeColor="text1"/>
              </w:rPr>
              <w:t>1.95</w:t>
            </w:r>
          </w:p>
        </w:tc>
        <w:tc>
          <w:tcPr>
            <w:tcW w:w="0" w:type="auto"/>
            <w:vAlign w:val="center"/>
            <w:hideMark/>
          </w:tcPr>
          <w:p w14:paraId="1828A59A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5.55</w:t>
            </w:r>
          </w:p>
        </w:tc>
        <w:tc>
          <w:tcPr>
            <w:tcW w:w="0" w:type="auto"/>
            <w:vAlign w:val="center"/>
            <w:hideMark/>
          </w:tcPr>
          <w:p w14:paraId="6A65B13A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18.5</w:t>
            </w:r>
          </w:p>
        </w:tc>
        <w:tc>
          <w:tcPr>
            <w:tcW w:w="0" w:type="auto"/>
            <w:vAlign w:val="center"/>
            <w:hideMark/>
          </w:tcPr>
          <w:p w14:paraId="5A4CE552" w14:textId="77777777" w:rsidR="00DA078C" w:rsidRPr="00DA078C" w:rsidRDefault="00DA078C" w:rsidP="00DA07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A078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&lt; 0.001</w:t>
            </w:r>
          </w:p>
        </w:tc>
      </w:tr>
    </w:tbl>
    <w:p w14:paraId="51C28F72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Interpretation of Table</w:t>
      </w:r>
    </w:p>
    <w:p w14:paraId="6DEDBBF6" w14:textId="0E5E4614" w:rsid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The table shows a substantial increase in the mean knowledge score after the video-assisted learning intervention. The paired </w:t>
      </w:r>
      <w:r w:rsidRPr="00DA078C">
        <w:rPr>
          <w:rFonts w:ascii="Times New Roman" w:eastAsia="Times New Roman" w:hAnsi="Times New Roman" w:cs="Times New Roman"/>
          <w:i/>
          <w:iCs/>
          <w:color w:val="000000" w:themeColor="text1"/>
        </w:rPr>
        <w:t>t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-test indicates a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highly statistically significant improvement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(</w:t>
      </w:r>
      <w:r w:rsidRPr="00DA078C">
        <w:rPr>
          <w:rFonts w:ascii="Times New Roman" w:eastAsia="Times New Roman" w:hAnsi="Times New Roman" w:cs="Times New Roman"/>
          <w:i/>
          <w:iCs/>
          <w:color w:val="000000" w:themeColor="text1"/>
        </w:rPr>
        <w:t>p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&lt; 0.001), confirming the effectiveness of the intervention.</w:t>
      </w:r>
    </w:p>
    <w:p w14:paraId="331C6DD8" w14:textId="77777777" w:rsidR="00510DB6" w:rsidRDefault="00510DB6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219515E4" w14:textId="77777777" w:rsidR="00510DB6" w:rsidRDefault="00510DB6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0C08C956" w14:textId="77777777" w:rsidR="00510DB6" w:rsidRDefault="00510DB6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2602B384" w14:textId="77777777" w:rsidR="00510DB6" w:rsidRDefault="00510DB6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31200632" w14:textId="77777777" w:rsidR="00510DB6" w:rsidRDefault="00510DB6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24F73E5A" w14:textId="77777777" w:rsidR="00510DB6" w:rsidRDefault="00510DB6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28AABB80" w14:textId="77777777" w:rsidR="00510DB6" w:rsidRDefault="00510DB6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35679D85" w14:textId="77777777" w:rsidR="00510DB6" w:rsidRPr="00DA078C" w:rsidRDefault="00510DB6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5450C9A5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lastRenderedPageBreak/>
        <w:t>Figure 1: Mean Pre-Test and Post-Test Knowledge Scores</w:t>
      </w:r>
    </w:p>
    <w:p w14:paraId="3A54B3C1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Mean Score</w:t>
      </w:r>
    </w:p>
    <w:p w14:paraId="5E80D3C5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18 ┤                          ████████████████</w:t>
      </w:r>
    </w:p>
    <w:p w14:paraId="0F49128C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16 ┤                          ███████████████</w:t>
      </w:r>
      <w:proofErr w:type="gramStart"/>
      <w:r w:rsidRPr="00DA078C">
        <w:rPr>
          <w:rFonts w:ascii="Times New Roman" w:eastAsia="Times New Roman" w:hAnsi="Times New Roman" w:cs="Times New Roman"/>
          <w:color w:val="000000" w:themeColor="text1"/>
        </w:rPr>
        <w:t>█  Post</w:t>
      </w:r>
      <w:proofErr w:type="gramEnd"/>
      <w:r w:rsidRPr="00DA078C">
        <w:rPr>
          <w:rFonts w:ascii="Times New Roman" w:eastAsia="Times New Roman" w:hAnsi="Times New Roman" w:cs="Times New Roman"/>
          <w:color w:val="000000" w:themeColor="text1"/>
        </w:rPr>
        <w:t>-test (16.80)</w:t>
      </w:r>
    </w:p>
    <w:p w14:paraId="01594082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14 ┤</w:t>
      </w:r>
    </w:p>
    <w:p w14:paraId="580C5ED1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12 ┤           ███████████</w:t>
      </w:r>
    </w:p>
    <w:p w14:paraId="6D9E5C7A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10 ┤           ██████████</w:t>
      </w:r>
      <w:proofErr w:type="gramStart"/>
      <w:r w:rsidRPr="00DA078C">
        <w:rPr>
          <w:rFonts w:ascii="Times New Roman" w:eastAsia="Times New Roman" w:hAnsi="Times New Roman" w:cs="Times New Roman"/>
          <w:color w:val="000000" w:themeColor="text1"/>
        </w:rPr>
        <w:t>█  Pre</w:t>
      </w:r>
      <w:proofErr w:type="gramEnd"/>
      <w:r w:rsidRPr="00DA078C">
        <w:rPr>
          <w:rFonts w:ascii="Times New Roman" w:eastAsia="Times New Roman" w:hAnsi="Times New Roman" w:cs="Times New Roman"/>
          <w:color w:val="000000" w:themeColor="text1"/>
        </w:rPr>
        <w:t>-test (11.25)</w:t>
      </w:r>
    </w:p>
    <w:p w14:paraId="6F4EB6D8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8 ┤</w:t>
      </w:r>
    </w:p>
    <w:p w14:paraId="39C9667E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6 ┤</w:t>
      </w:r>
    </w:p>
    <w:p w14:paraId="7E6DCA82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4 ┤</w:t>
      </w:r>
    </w:p>
    <w:p w14:paraId="54FEDC27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2 ┤</w:t>
      </w:r>
    </w:p>
    <w:p w14:paraId="5050B8FB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0 └──────────────────────────────────────────</w:t>
      </w:r>
    </w:p>
    <w:p w14:paraId="6A4AFF15" w14:textId="5DA6EFCA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       Pre-test               Post-test</w:t>
      </w:r>
    </w:p>
    <w:p w14:paraId="5A28AAA2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Interpretation of Figure</w:t>
      </w:r>
    </w:p>
    <w:p w14:paraId="2331CB2D" w14:textId="638E0191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The bar graph clearly demonstrates a marked improvement in post-test knowledge scores compared to pre-test scores. The higher post-test mean obtained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seven days after the intervention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reflects effective knowledge acquisition and short-term retention.</w:t>
      </w:r>
    </w:p>
    <w:p w14:paraId="484C4E0C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Detailed Paired </w:t>
      </w:r>
      <w:r w:rsidRPr="00DA078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>t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-Test Findings</w:t>
      </w:r>
    </w:p>
    <w:p w14:paraId="6564FAE6" w14:textId="634316C8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The mean pre-test knowledge score of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11.25 ± 2.45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indicated moderate baseline knowledge among adolescent girls. After the video-assisted learning intervention, the mean post-test score increased to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16.80 ± 1.95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, showing a considerable improvement. The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mean gain of 5.55 points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in knowledge was found to be </w:t>
      </w: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highly statistically significant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(</w:t>
      </w:r>
      <w:r w:rsidRPr="00DA078C">
        <w:rPr>
          <w:rFonts w:ascii="Times New Roman" w:eastAsia="Times New Roman" w:hAnsi="Times New Roman" w:cs="Times New Roman"/>
          <w:i/>
          <w:iCs/>
          <w:color w:val="000000" w:themeColor="text1"/>
        </w:rPr>
        <w:t>t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(75) = 18.5, </w:t>
      </w:r>
      <w:r w:rsidRPr="00DA078C">
        <w:rPr>
          <w:rFonts w:ascii="Times New Roman" w:eastAsia="Times New Roman" w:hAnsi="Times New Roman" w:cs="Times New Roman"/>
          <w:i/>
          <w:iCs/>
          <w:color w:val="000000" w:themeColor="text1"/>
        </w:rPr>
        <w:t>p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t xml:space="preserve"> &lt; 0.001).</w:t>
      </w:r>
      <w:r w:rsidRPr="00DA078C">
        <w:rPr>
          <w:rFonts w:ascii="Times New Roman" w:eastAsia="Times New Roman" w:hAnsi="Times New Roman" w:cs="Times New Roman"/>
          <w:color w:val="000000" w:themeColor="text1"/>
        </w:rPr>
        <w:br/>
        <w:t>This significant difference confirms that the improvement in knowledge was not due to chance and can be attributed to the effectiveness of the video-assisted learning program. The post-test conducted after seven days further indicates effective short-term knowledge retention.</w:t>
      </w:r>
    </w:p>
    <w:p w14:paraId="63F47CF1" w14:textId="77777777" w:rsidR="00510DB6" w:rsidRDefault="00510DB6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438331C9" w14:textId="77777777" w:rsidR="00510DB6" w:rsidRDefault="00510DB6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6DFA36CC" w14:textId="356A2110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lastRenderedPageBreak/>
        <w:t>Discussion</w:t>
      </w:r>
    </w:p>
    <w:p w14:paraId="4DF409EE" w14:textId="38F4C515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The findings of the present study demonstrate that video-assisted learning is an effective educational strategy for improving knowledge regarding sexual health and sexual assault among adolescent girls. The moderate pre-test knowledge level highlights existing gaps in adolescent sexual health education. The significant increase in post-test scores supports previous studies that emphasize the effectiveness of audiovisual teaching methods in enhancing comprehension and retention of sensitive health topics. School-based video-assisted education, facilitated by nurses and educators, can play a vital role in empowering adolescents with essential knowledge.</w:t>
      </w:r>
    </w:p>
    <w:p w14:paraId="262DD8F6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b/>
          <w:bCs/>
          <w:color w:val="000000" w:themeColor="text1"/>
        </w:rPr>
        <w:t>Conclusion</w:t>
      </w:r>
    </w:p>
    <w:p w14:paraId="47E9259D" w14:textId="77777777" w:rsidR="00DA078C" w:rsidRPr="00DA078C" w:rsidRDefault="00DA078C" w:rsidP="00DA078C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DA078C">
        <w:rPr>
          <w:rFonts w:ascii="Times New Roman" w:eastAsia="Times New Roman" w:hAnsi="Times New Roman" w:cs="Times New Roman"/>
          <w:color w:val="000000" w:themeColor="text1"/>
        </w:rPr>
        <w:t>Video-assisted learning significantly improves knowledge regarding sexual health and sexual assault among adolescent girls. Integrating structured multimedia-based sexual health education programs into school curricula is strongly recommended to promote awareness, safety, and informed decision-making among adolescents.</w:t>
      </w:r>
    </w:p>
    <w:p w14:paraId="44055C88" w14:textId="77777777" w:rsidR="00CD1D5D" w:rsidRPr="00DA078C" w:rsidRDefault="00CD1D5D" w:rsidP="00CD1D5D">
      <w:pPr>
        <w:spacing w:line="360" w:lineRule="auto"/>
        <w:jc w:val="both"/>
        <w:rPr>
          <w:rFonts w:ascii="Times New Roman" w:eastAsia="Times New Roman" w:hAnsi="Times New Roman" w:cs="Times New Roman"/>
          <w:color w:val="C00000"/>
        </w:rPr>
      </w:pPr>
    </w:p>
    <w:p w14:paraId="1CBB9737" w14:textId="77777777" w:rsidR="00CD1D5D" w:rsidRDefault="00CD1D5D" w:rsidP="00CD1D5D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sectPr w:rsidR="00CD1D5D" w:rsidSect="00CD1D5D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5C02"/>
    <w:multiLevelType w:val="multilevel"/>
    <w:tmpl w:val="F72E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D0504"/>
    <w:multiLevelType w:val="multilevel"/>
    <w:tmpl w:val="11462E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6191E1B"/>
    <w:multiLevelType w:val="multilevel"/>
    <w:tmpl w:val="F104B5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F2E0A93"/>
    <w:multiLevelType w:val="multilevel"/>
    <w:tmpl w:val="BD16830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140E0080"/>
    <w:multiLevelType w:val="multilevel"/>
    <w:tmpl w:val="A68CDA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4485496"/>
    <w:multiLevelType w:val="multilevel"/>
    <w:tmpl w:val="7D465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592C5F"/>
    <w:multiLevelType w:val="multilevel"/>
    <w:tmpl w:val="06FAE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B7A3FFE"/>
    <w:multiLevelType w:val="multilevel"/>
    <w:tmpl w:val="61927B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1C6747EA"/>
    <w:multiLevelType w:val="multilevel"/>
    <w:tmpl w:val="51906D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F634337"/>
    <w:multiLevelType w:val="multilevel"/>
    <w:tmpl w:val="8C2C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702DF8"/>
    <w:multiLevelType w:val="multilevel"/>
    <w:tmpl w:val="580C3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CE0879"/>
    <w:multiLevelType w:val="multilevel"/>
    <w:tmpl w:val="90743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7761A4"/>
    <w:multiLevelType w:val="multilevel"/>
    <w:tmpl w:val="32926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334C1C"/>
    <w:multiLevelType w:val="multilevel"/>
    <w:tmpl w:val="0F023D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 w15:restartNumberingAfterBreak="0">
    <w:nsid w:val="29375423"/>
    <w:multiLevelType w:val="multilevel"/>
    <w:tmpl w:val="F6245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E57C63"/>
    <w:multiLevelType w:val="multilevel"/>
    <w:tmpl w:val="67C8D7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39900DAB"/>
    <w:multiLevelType w:val="multilevel"/>
    <w:tmpl w:val="2822E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A61BCB"/>
    <w:multiLevelType w:val="multilevel"/>
    <w:tmpl w:val="F7366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0FD6889"/>
    <w:multiLevelType w:val="multilevel"/>
    <w:tmpl w:val="34A2A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CD1538"/>
    <w:multiLevelType w:val="multilevel"/>
    <w:tmpl w:val="8C146B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0" w15:restartNumberingAfterBreak="0">
    <w:nsid w:val="519E72F9"/>
    <w:multiLevelType w:val="multilevel"/>
    <w:tmpl w:val="0B041D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53A52289"/>
    <w:multiLevelType w:val="multilevel"/>
    <w:tmpl w:val="404E7C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561B7F8F"/>
    <w:multiLevelType w:val="multilevel"/>
    <w:tmpl w:val="D3389A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5E6F1DDD"/>
    <w:multiLevelType w:val="multilevel"/>
    <w:tmpl w:val="C0FAB4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4" w15:restartNumberingAfterBreak="0">
    <w:nsid w:val="5FB01EF8"/>
    <w:multiLevelType w:val="multilevel"/>
    <w:tmpl w:val="86747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4F2E49"/>
    <w:multiLevelType w:val="multilevel"/>
    <w:tmpl w:val="B4EC2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1E1C57"/>
    <w:multiLevelType w:val="multilevel"/>
    <w:tmpl w:val="CF2200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7" w15:restartNumberingAfterBreak="0">
    <w:nsid w:val="699F4F86"/>
    <w:multiLevelType w:val="multilevel"/>
    <w:tmpl w:val="FBE29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ED668C"/>
    <w:multiLevelType w:val="multilevel"/>
    <w:tmpl w:val="CD667E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7E9E41C2"/>
    <w:multiLevelType w:val="multilevel"/>
    <w:tmpl w:val="C868D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0513912">
    <w:abstractNumId w:val="2"/>
  </w:num>
  <w:num w:numId="2" w16cid:durableId="465926706">
    <w:abstractNumId w:val="1"/>
  </w:num>
  <w:num w:numId="3" w16cid:durableId="1895307334">
    <w:abstractNumId w:val="3"/>
  </w:num>
  <w:num w:numId="4" w16cid:durableId="1143617952">
    <w:abstractNumId w:val="28"/>
  </w:num>
  <w:num w:numId="5" w16cid:durableId="1277180539">
    <w:abstractNumId w:val="8"/>
  </w:num>
  <w:num w:numId="6" w16cid:durableId="1415661596">
    <w:abstractNumId w:val="15"/>
  </w:num>
  <w:num w:numId="7" w16cid:durableId="1409881439">
    <w:abstractNumId w:val="21"/>
  </w:num>
  <w:num w:numId="8" w16cid:durableId="61880287">
    <w:abstractNumId w:val="7"/>
  </w:num>
  <w:num w:numId="9" w16cid:durableId="1162896301">
    <w:abstractNumId w:val="20"/>
  </w:num>
  <w:num w:numId="10" w16cid:durableId="905648356">
    <w:abstractNumId w:val="26"/>
  </w:num>
  <w:num w:numId="11" w16cid:durableId="802894605">
    <w:abstractNumId w:val="4"/>
  </w:num>
  <w:num w:numId="12" w16cid:durableId="123894282">
    <w:abstractNumId w:val="13"/>
  </w:num>
  <w:num w:numId="13" w16cid:durableId="1245870590">
    <w:abstractNumId w:val="23"/>
  </w:num>
  <w:num w:numId="14" w16cid:durableId="638150067">
    <w:abstractNumId w:val="6"/>
  </w:num>
  <w:num w:numId="15" w16cid:durableId="960961064">
    <w:abstractNumId w:val="19"/>
  </w:num>
  <w:num w:numId="16" w16cid:durableId="923681985">
    <w:abstractNumId w:val="22"/>
  </w:num>
  <w:num w:numId="17" w16cid:durableId="1342196721">
    <w:abstractNumId w:val="29"/>
  </w:num>
  <w:num w:numId="18" w16cid:durableId="1509059464">
    <w:abstractNumId w:val="11"/>
  </w:num>
  <w:num w:numId="19" w16cid:durableId="185599560">
    <w:abstractNumId w:val="10"/>
  </w:num>
  <w:num w:numId="20" w16cid:durableId="563831788">
    <w:abstractNumId w:val="16"/>
  </w:num>
  <w:num w:numId="21" w16cid:durableId="2133401989">
    <w:abstractNumId w:val="9"/>
  </w:num>
  <w:num w:numId="22" w16cid:durableId="993295534">
    <w:abstractNumId w:val="14"/>
  </w:num>
  <w:num w:numId="23" w16cid:durableId="1767264686">
    <w:abstractNumId w:val="27"/>
  </w:num>
  <w:num w:numId="24" w16cid:durableId="1262375420">
    <w:abstractNumId w:val="12"/>
  </w:num>
  <w:num w:numId="25" w16cid:durableId="1175219907">
    <w:abstractNumId w:val="0"/>
  </w:num>
  <w:num w:numId="26" w16cid:durableId="1697344572">
    <w:abstractNumId w:val="18"/>
  </w:num>
  <w:num w:numId="27" w16cid:durableId="2130392395">
    <w:abstractNumId w:val="24"/>
  </w:num>
  <w:num w:numId="28" w16cid:durableId="1414625043">
    <w:abstractNumId w:val="17"/>
  </w:num>
  <w:num w:numId="29" w16cid:durableId="857082316">
    <w:abstractNumId w:val="25"/>
  </w:num>
  <w:num w:numId="30" w16cid:durableId="3548890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D5D"/>
    <w:rsid w:val="000830A0"/>
    <w:rsid w:val="00206683"/>
    <w:rsid w:val="00290178"/>
    <w:rsid w:val="00396891"/>
    <w:rsid w:val="00464E71"/>
    <w:rsid w:val="00510DB6"/>
    <w:rsid w:val="00583EDA"/>
    <w:rsid w:val="005B4B3A"/>
    <w:rsid w:val="00822577"/>
    <w:rsid w:val="00890123"/>
    <w:rsid w:val="00A10645"/>
    <w:rsid w:val="00AA3538"/>
    <w:rsid w:val="00AF1B0E"/>
    <w:rsid w:val="00C371C9"/>
    <w:rsid w:val="00CD1D5D"/>
    <w:rsid w:val="00CF09E6"/>
    <w:rsid w:val="00D45500"/>
    <w:rsid w:val="00D633AB"/>
    <w:rsid w:val="00DA078C"/>
    <w:rsid w:val="00DC4127"/>
    <w:rsid w:val="00E81851"/>
    <w:rsid w:val="00FE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AD6E5"/>
  <w15:chartTrackingRefBased/>
  <w15:docId w15:val="{0F0A4F46-DBA9-4811-B8EB-A3B22B86B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D5D"/>
    <w:rPr>
      <w:rFonts w:ascii="Calibri" w:eastAsia="Calibri" w:hAnsi="Calibri" w:cs="Calibri"/>
      <w:kern w:val="0"/>
      <w:lang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1D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1D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1D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1D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1D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1D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1D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1D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1D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D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1D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1D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1D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1D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1D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1D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1D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1D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1D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1D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1D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1D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1D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1D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1D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1D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1D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1D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1D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790</Words>
  <Characters>5162</Characters>
  <Application>Microsoft Office Word</Application>
  <DocSecurity>0</DocSecurity>
  <Lines>135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btine 01</dc:creator>
  <cp:keywords/>
  <dc:description/>
  <cp:lastModifiedBy>btine 01</cp:lastModifiedBy>
  <cp:revision>11</cp:revision>
  <dcterms:created xsi:type="dcterms:W3CDTF">2025-12-05T08:47:00Z</dcterms:created>
  <dcterms:modified xsi:type="dcterms:W3CDTF">2025-12-18T11:00:00Z</dcterms:modified>
</cp:coreProperties>
</file>