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1823F" w14:textId="786796FC" w:rsidR="00CE7687" w:rsidRPr="00A960EA" w:rsidRDefault="00CE7687" w:rsidP="00A960EA">
      <w:pPr>
        <w:spacing w:after="0" w:line="360" w:lineRule="auto"/>
        <w:ind w:right="720"/>
        <w:jc w:val="center"/>
        <w:rPr>
          <w:rFonts w:ascii="Times New Roman" w:hAnsi="Times New Roman" w:cs="Times New Roman"/>
          <w:b/>
          <w:bCs/>
          <w:sz w:val="48"/>
          <w:szCs w:val="48"/>
        </w:rPr>
      </w:pPr>
      <w:r w:rsidRPr="00CE7687">
        <w:rPr>
          <w:rFonts w:ascii="Times New Roman" w:hAnsi="Times New Roman" w:cs="Times New Roman"/>
          <w:b/>
          <w:bCs/>
          <w:sz w:val="22"/>
          <w:szCs w:val="22"/>
        </w:rPr>
        <w:t>"</w:t>
      </w:r>
      <w:r w:rsidRPr="00A960EA">
        <w:rPr>
          <w:rFonts w:ascii="Times New Roman" w:hAnsi="Times New Roman" w:cs="Times New Roman"/>
          <w:b/>
          <w:bCs/>
          <w:sz w:val="48"/>
          <w:szCs w:val="48"/>
        </w:rPr>
        <w:t>Preventing Malnutrition: A Comprehensive Review of Community-Based Nutritional Interventions"</w:t>
      </w:r>
    </w:p>
    <w:p w14:paraId="0E61BDC4" w14:textId="64F472FC" w:rsidR="00245B14" w:rsidRPr="0051307A" w:rsidRDefault="00730112" w:rsidP="00E50F03">
      <w:pPr>
        <w:spacing w:after="0" w:line="360" w:lineRule="auto"/>
        <w:ind w:left="720" w:right="720"/>
        <w:jc w:val="right"/>
        <w:rPr>
          <w:rFonts w:ascii="Times New Roman" w:hAnsi="Times New Roman" w:cs="Times New Roman"/>
          <w:sz w:val="22"/>
          <w:szCs w:val="22"/>
        </w:rPr>
      </w:pPr>
      <w:r w:rsidRPr="0051307A">
        <w:rPr>
          <w:rFonts w:ascii="Times New Roman" w:hAnsi="Times New Roman" w:cs="Times New Roman"/>
          <w:sz w:val="22"/>
          <w:szCs w:val="22"/>
        </w:rPr>
        <w:t xml:space="preserve">Miss. </w:t>
      </w:r>
      <w:r w:rsidR="00CE7687">
        <w:rPr>
          <w:rFonts w:ascii="Times New Roman" w:hAnsi="Times New Roman" w:cs="Times New Roman"/>
          <w:sz w:val="22"/>
          <w:szCs w:val="22"/>
        </w:rPr>
        <w:t>Varsha Kunjir</w:t>
      </w:r>
    </w:p>
    <w:p w14:paraId="223606F8" w14:textId="77777777" w:rsidR="00E50F03" w:rsidRDefault="00245B14" w:rsidP="00E50F03">
      <w:pPr>
        <w:spacing w:after="0" w:line="360" w:lineRule="auto"/>
        <w:ind w:left="720" w:right="720"/>
        <w:jc w:val="right"/>
        <w:rPr>
          <w:rFonts w:ascii="Times New Roman" w:hAnsi="Times New Roman" w:cs="Times New Roman"/>
          <w:sz w:val="22"/>
          <w:szCs w:val="22"/>
        </w:rPr>
      </w:pPr>
      <w:r w:rsidRPr="0051307A">
        <w:rPr>
          <w:rFonts w:ascii="Times New Roman" w:hAnsi="Times New Roman" w:cs="Times New Roman"/>
          <w:sz w:val="22"/>
          <w:szCs w:val="22"/>
        </w:rPr>
        <w:t>M.Sc. (</w:t>
      </w:r>
      <w:r w:rsidR="00CE7687">
        <w:rPr>
          <w:rFonts w:ascii="Times New Roman" w:hAnsi="Times New Roman" w:cs="Times New Roman"/>
          <w:sz w:val="22"/>
          <w:szCs w:val="22"/>
        </w:rPr>
        <w:t xml:space="preserve">Community </w:t>
      </w:r>
      <w:r w:rsidRPr="0051307A">
        <w:rPr>
          <w:rFonts w:ascii="Times New Roman" w:hAnsi="Times New Roman" w:cs="Times New Roman"/>
          <w:sz w:val="22"/>
          <w:szCs w:val="22"/>
        </w:rPr>
        <w:t>Health Nursing),</w:t>
      </w:r>
    </w:p>
    <w:p w14:paraId="1CBB6825" w14:textId="77777777" w:rsidR="00E50F03" w:rsidRDefault="00245B14" w:rsidP="00E50F03">
      <w:pPr>
        <w:spacing w:after="0" w:line="360" w:lineRule="auto"/>
        <w:ind w:left="720" w:right="720"/>
        <w:jc w:val="right"/>
        <w:rPr>
          <w:rFonts w:ascii="Times New Roman" w:hAnsi="Times New Roman" w:cs="Times New Roman"/>
          <w:sz w:val="22"/>
          <w:szCs w:val="22"/>
        </w:rPr>
      </w:pPr>
      <w:r w:rsidRPr="0051307A">
        <w:rPr>
          <w:rFonts w:ascii="Times New Roman" w:hAnsi="Times New Roman" w:cs="Times New Roman"/>
          <w:sz w:val="22"/>
          <w:szCs w:val="22"/>
        </w:rPr>
        <w:t xml:space="preserve"> Clinical Instructor MKSSSBTINE, </w:t>
      </w:r>
    </w:p>
    <w:p w14:paraId="2CAFC76A" w14:textId="0DB6111E" w:rsidR="00245B14" w:rsidRPr="0051307A" w:rsidRDefault="00245B14" w:rsidP="00E50F03">
      <w:pPr>
        <w:spacing w:after="0" w:line="360" w:lineRule="auto"/>
        <w:ind w:left="720" w:right="720"/>
        <w:jc w:val="right"/>
        <w:rPr>
          <w:rFonts w:ascii="Times New Roman" w:hAnsi="Times New Roman" w:cs="Times New Roman"/>
          <w:sz w:val="22"/>
          <w:szCs w:val="22"/>
        </w:rPr>
      </w:pPr>
      <w:r w:rsidRPr="0051307A">
        <w:rPr>
          <w:rFonts w:ascii="Times New Roman" w:hAnsi="Times New Roman" w:cs="Times New Roman"/>
          <w:sz w:val="22"/>
          <w:szCs w:val="22"/>
        </w:rPr>
        <w:t>MUHS University, Pune, India</w:t>
      </w:r>
    </w:p>
    <w:p w14:paraId="42EE914A" w14:textId="310B1F87" w:rsidR="00245B14" w:rsidRPr="0051307A" w:rsidRDefault="00245B14" w:rsidP="00FB44C8">
      <w:pPr>
        <w:spacing w:after="0" w:line="480" w:lineRule="auto"/>
        <w:ind w:left="720" w:right="720"/>
        <w:jc w:val="right"/>
        <w:rPr>
          <w:rFonts w:ascii="Times New Roman" w:hAnsi="Times New Roman" w:cs="Times New Roman"/>
          <w:sz w:val="22"/>
          <w:szCs w:val="22"/>
        </w:rPr>
      </w:pPr>
      <w:r w:rsidRPr="0051307A">
        <w:rPr>
          <w:rFonts w:ascii="Times New Roman" w:hAnsi="Times New Roman" w:cs="Times New Roman"/>
          <w:sz w:val="22"/>
          <w:szCs w:val="22"/>
        </w:rPr>
        <w:t xml:space="preserve">E-mail: </w:t>
      </w:r>
      <w:r w:rsidR="00FB44C8">
        <w:rPr>
          <w:rFonts w:ascii="Times New Roman" w:hAnsi="Times New Roman" w:cs="Times New Roman"/>
          <w:sz w:val="22"/>
          <w:szCs w:val="22"/>
        </w:rPr>
        <w:t>varsha.kunjir@mksssbtine.in</w:t>
      </w:r>
    </w:p>
    <w:p w14:paraId="3BD9BBC4" w14:textId="77777777" w:rsidR="00B0359E" w:rsidRPr="00A960EA" w:rsidRDefault="00B0359E" w:rsidP="00B0359E">
      <w:pPr>
        <w:spacing w:after="0" w:line="360" w:lineRule="auto"/>
        <w:ind w:left="720" w:right="720"/>
        <w:jc w:val="both"/>
        <w:rPr>
          <w:rFonts w:ascii="Times New Roman" w:hAnsi="Times New Roman" w:cs="Times New Roman"/>
          <w:b/>
          <w:bCs/>
          <w:i/>
          <w:iCs/>
          <w:sz w:val="22"/>
          <w:szCs w:val="22"/>
        </w:rPr>
      </w:pPr>
      <w:r w:rsidRPr="00A960EA">
        <w:rPr>
          <w:rFonts w:ascii="Times New Roman" w:hAnsi="Times New Roman" w:cs="Times New Roman"/>
          <w:b/>
          <w:bCs/>
          <w:i/>
          <w:iCs/>
          <w:sz w:val="22"/>
          <w:szCs w:val="22"/>
        </w:rPr>
        <w:t>Abstract</w:t>
      </w:r>
    </w:p>
    <w:p w14:paraId="25AD6A1A" w14:textId="77777777" w:rsidR="0020751D" w:rsidRPr="0020751D" w:rsidRDefault="0020751D" w:rsidP="0020751D">
      <w:pPr>
        <w:spacing w:after="0" w:line="360" w:lineRule="auto"/>
        <w:ind w:left="720" w:right="720"/>
        <w:jc w:val="both"/>
        <w:rPr>
          <w:rFonts w:ascii="Times New Roman" w:hAnsi="Times New Roman" w:cs="Times New Roman"/>
          <w:sz w:val="22"/>
          <w:szCs w:val="22"/>
        </w:rPr>
      </w:pPr>
      <w:r w:rsidRPr="0020751D">
        <w:rPr>
          <w:rFonts w:ascii="Times New Roman" w:hAnsi="Times New Roman" w:cs="Times New Roman"/>
          <w:sz w:val="22"/>
          <w:szCs w:val="22"/>
        </w:rPr>
        <w:t>Adolescent malnutrition is a significant public health issue in low- and middle-income countries (LMICs), with lasting impacts on health and development. Community-based interventions offer potential solutions to address various forms of malnutrition and improve adolescent health outcomes. However, the effectiveness and implementation of these interventions remain underexplored. This scoping review aims to synthesize evidence on community-based interventions targeting multiple forms of malnutrition in adolescents aged 10–19 years in LMICs. A comprehensive search will be conducted across multiple databases from 2000 to July 2023, focusing on randomized controlled trials and quasi-experimental studies. Interventions such as micronutrient supplementation, nutrition education, feeding programs, physical activity, and environmental changes will be included. Data extraction will be performed by two independent reviewers, and risk of bias will be assessed. Results will be reported according to the PRISMA Extension for Scoping Reviews guidelines. Findings will be disseminated through peer-reviewed publications and presentations at conferences.</w:t>
      </w:r>
    </w:p>
    <w:p w14:paraId="08CC354D" w14:textId="77777777" w:rsidR="0020751D" w:rsidRPr="0020751D" w:rsidRDefault="0020751D" w:rsidP="0020751D">
      <w:pPr>
        <w:spacing w:after="0" w:line="360" w:lineRule="auto"/>
        <w:ind w:left="720" w:right="720"/>
        <w:jc w:val="both"/>
        <w:rPr>
          <w:rFonts w:ascii="Times New Roman" w:hAnsi="Times New Roman" w:cs="Times New Roman"/>
          <w:sz w:val="22"/>
          <w:szCs w:val="22"/>
        </w:rPr>
      </w:pPr>
      <w:r w:rsidRPr="0020751D">
        <w:rPr>
          <w:rFonts w:ascii="Times New Roman" w:hAnsi="Times New Roman" w:cs="Times New Roman"/>
          <w:b/>
          <w:bCs/>
          <w:sz w:val="22"/>
          <w:szCs w:val="22"/>
        </w:rPr>
        <w:t>Keywords:</w:t>
      </w:r>
      <w:r w:rsidRPr="0020751D">
        <w:rPr>
          <w:rFonts w:ascii="Times New Roman" w:hAnsi="Times New Roman" w:cs="Times New Roman"/>
          <w:sz w:val="22"/>
          <w:szCs w:val="22"/>
        </w:rPr>
        <w:t xml:space="preserve"> Adolescent, Nutrition &amp; Dietetics, Health Education, Systematic Review, Anaemia.</w:t>
      </w:r>
    </w:p>
    <w:p w14:paraId="676A1214" w14:textId="77777777" w:rsidR="00B0359E" w:rsidRPr="00B0359E" w:rsidRDefault="00B0359E" w:rsidP="00B0359E">
      <w:pPr>
        <w:spacing w:after="0" w:line="360" w:lineRule="auto"/>
        <w:ind w:left="720" w:right="720"/>
        <w:jc w:val="both"/>
        <w:rPr>
          <w:rFonts w:ascii="Times New Roman" w:hAnsi="Times New Roman" w:cs="Times New Roman"/>
          <w:b/>
          <w:bCs/>
          <w:sz w:val="22"/>
          <w:szCs w:val="22"/>
        </w:rPr>
      </w:pPr>
      <w:r w:rsidRPr="00B0359E">
        <w:rPr>
          <w:rFonts w:ascii="Times New Roman" w:hAnsi="Times New Roman" w:cs="Times New Roman"/>
          <w:b/>
          <w:bCs/>
          <w:sz w:val="22"/>
          <w:szCs w:val="22"/>
        </w:rPr>
        <w:t>Introduction</w:t>
      </w:r>
    </w:p>
    <w:p w14:paraId="18721F9C" w14:textId="77777777" w:rsidR="00084EA2" w:rsidRPr="00084EA2" w:rsidRDefault="00084EA2" w:rsidP="00084EA2">
      <w:pPr>
        <w:spacing w:after="0" w:line="360" w:lineRule="auto"/>
        <w:ind w:left="720" w:right="720"/>
        <w:jc w:val="both"/>
        <w:rPr>
          <w:rFonts w:ascii="Times New Roman" w:hAnsi="Times New Roman" w:cs="Times New Roman"/>
          <w:sz w:val="22"/>
          <w:szCs w:val="22"/>
        </w:rPr>
      </w:pPr>
      <w:r w:rsidRPr="00084EA2">
        <w:rPr>
          <w:rFonts w:ascii="Times New Roman" w:hAnsi="Times New Roman" w:cs="Times New Roman"/>
          <w:sz w:val="22"/>
          <w:szCs w:val="22"/>
        </w:rPr>
        <w:t>Childhood malnutrition remains a significant public health issue in low- and middle-income countries (LMICs), with noticeable disparities in undernutrition across different regions and countries. Recent studies have shown that malnutrition during childhood not only affects physical health and growth but also impacts cognitive development and future productivity, which can lead to long-term economic consequences. Addressing hunger and malnutrition has therefore been prioritized as a key goal in the Sustainable Development Goals (SDGs), with a specific focus on chronic childhood malnutrition.</w:t>
      </w:r>
    </w:p>
    <w:p w14:paraId="685AD62E" w14:textId="38D28378" w:rsidR="00084EA2" w:rsidRPr="00084EA2" w:rsidRDefault="00084EA2" w:rsidP="00084EA2">
      <w:pPr>
        <w:spacing w:after="0" w:line="360" w:lineRule="auto"/>
        <w:ind w:left="720" w:right="720"/>
        <w:jc w:val="both"/>
        <w:rPr>
          <w:rFonts w:ascii="Times New Roman" w:hAnsi="Times New Roman" w:cs="Times New Roman"/>
          <w:sz w:val="22"/>
          <w:szCs w:val="22"/>
        </w:rPr>
      </w:pPr>
      <w:r w:rsidRPr="00084EA2">
        <w:rPr>
          <w:rFonts w:ascii="Times New Roman" w:hAnsi="Times New Roman" w:cs="Times New Roman"/>
          <w:sz w:val="22"/>
          <w:szCs w:val="22"/>
        </w:rPr>
        <w:lastRenderedPageBreak/>
        <w:t xml:space="preserve">There's a growing body of evidence highlighting the long-term health and economic benefits of improving nutrition in early childhood, which is why most interventions focus on the early stages of a child's life. However, while tackling childhood undernutrition can enhance individual well-being and drive economic growth, it's crucial to evaluate the cost-effectiveness and benefits of different approaches in various </w:t>
      </w:r>
      <w:r w:rsidRPr="00084EA2">
        <w:rPr>
          <w:rFonts w:ascii="Times New Roman" w:hAnsi="Times New Roman" w:cs="Times New Roman"/>
          <w:sz w:val="22"/>
          <w:szCs w:val="22"/>
        </w:rPr>
        <w:t>contexts. The</w:t>
      </w:r>
      <w:r w:rsidRPr="00084EA2">
        <w:rPr>
          <w:rFonts w:ascii="Times New Roman" w:hAnsi="Times New Roman" w:cs="Times New Roman"/>
          <w:sz w:val="22"/>
          <w:szCs w:val="22"/>
        </w:rPr>
        <w:t xml:space="preserve"> causes of child malnutrition are complex, involving a range of immediate, underlying, and basic factors, and the interactions between them. Nutrition-specific interventions that target these immediate causes of malnutrition are being implemented in various settings to help improve child nutrition. Research has shown that increasing the coverage of these interventions is vital to reducing undernutrition and its negative impacts.</w:t>
      </w:r>
    </w:p>
    <w:p w14:paraId="18AFE5D2" w14:textId="2B87D699" w:rsidR="00B0359E" w:rsidRPr="00B0359E" w:rsidRDefault="00B0359E" w:rsidP="00084EA2">
      <w:pPr>
        <w:spacing w:after="0" w:line="360" w:lineRule="auto"/>
        <w:ind w:left="720" w:right="720"/>
        <w:jc w:val="both"/>
        <w:rPr>
          <w:rFonts w:ascii="Times New Roman" w:hAnsi="Times New Roman" w:cs="Times New Roman"/>
          <w:sz w:val="22"/>
          <w:szCs w:val="22"/>
        </w:rPr>
      </w:pPr>
      <w:r w:rsidRPr="00084EA2">
        <w:rPr>
          <w:rFonts w:ascii="Times New Roman" w:hAnsi="Times New Roman" w:cs="Times New Roman"/>
          <w:sz w:val="22"/>
          <w:szCs w:val="22"/>
        </w:rPr>
        <w:t>Community-Based Nutritional Interventions</w:t>
      </w:r>
      <w:r w:rsidR="00084EA2">
        <w:rPr>
          <w:rFonts w:ascii="Times New Roman" w:hAnsi="Times New Roman" w:cs="Times New Roman"/>
          <w:sz w:val="22"/>
          <w:szCs w:val="22"/>
        </w:rPr>
        <w:t xml:space="preserve"> </w:t>
      </w:r>
      <w:r w:rsidRPr="00B0359E">
        <w:rPr>
          <w:rFonts w:ascii="Times New Roman" w:hAnsi="Times New Roman" w:cs="Times New Roman"/>
          <w:sz w:val="22"/>
          <w:szCs w:val="22"/>
        </w:rPr>
        <w:t>Various community-based programs have shown success in addressing malnutrition through different approaches.</w:t>
      </w:r>
    </w:p>
    <w:p w14:paraId="2F107498" w14:textId="77777777" w:rsidR="00B0359E" w:rsidRPr="00B0359E" w:rsidRDefault="00B0359E" w:rsidP="00B0359E">
      <w:pPr>
        <w:spacing w:after="0" w:line="360" w:lineRule="auto"/>
        <w:ind w:left="720" w:right="720"/>
        <w:jc w:val="both"/>
        <w:rPr>
          <w:rFonts w:ascii="Times New Roman" w:hAnsi="Times New Roman" w:cs="Times New Roman"/>
          <w:b/>
          <w:bCs/>
          <w:sz w:val="22"/>
          <w:szCs w:val="22"/>
        </w:rPr>
      </w:pPr>
      <w:r w:rsidRPr="00B0359E">
        <w:rPr>
          <w:rFonts w:ascii="Times New Roman" w:hAnsi="Times New Roman" w:cs="Times New Roman"/>
          <w:b/>
          <w:bCs/>
          <w:sz w:val="22"/>
          <w:szCs w:val="22"/>
        </w:rPr>
        <w:t>Nutrition Education Programs</w:t>
      </w:r>
    </w:p>
    <w:p w14:paraId="5EDC7058" w14:textId="0511B9B2" w:rsidR="00656147" w:rsidRPr="00656147" w:rsidRDefault="00656147" w:rsidP="00656147">
      <w:pPr>
        <w:spacing w:after="0" w:line="360" w:lineRule="auto"/>
        <w:ind w:left="709" w:right="720"/>
        <w:rPr>
          <w:rFonts w:ascii="Times New Roman" w:hAnsi="Times New Roman" w:cs="Times New Roman"/>
          <w:sz w:val="22"/>
          <w:szCs w:val="22"/>
        </w:rPr>
      </w:pPr>
      <w:r w:rsidRPr="00656147">
        <w:rPr>
          <w:rFonts w:ascii="Times New Roman" w:hAnsi="Times New Roman" w:cs="Times New Roman"/>
          <w:sz w:val="22"/>
          <w:szCs w:val="22"/>
        </w:rPr>
        <w:t xml:space="preserve">Since 1971, Taiwan's death certification system has been computerized, with cancer being the leading cause of death for decades. Cancer-related malnutrition can lead to infections, slow wound healing, muscle weakness, and skin breakdown. Nutritional support is essential for patients unable to maintain weight due to reduced appetite. Tailored strategies to identify at-risk patients are crucial for effective support and reducing cancer </w:t>
      </w:r>
      <w:r w:rsidRPr="00656147">
        <w:rPr>
          <w:rFonts w:ascii="Times New Roman" w:hAnsi="Times New Roman" w:cs="Times New Roman"/>
          <w:sz w:val="22"/>
          <w:szCs w:val="22"/>
        </w:rPr>
        <w:t>complications. Routine</w:t>
      </w:r>
      <w:r w:rsidRPr="00656147">
        <w:rPr>
          <w:rFonts w:ascii="Times New Roman" w:hAnsi="Times New Roman" w:cs="Times New Roman"/>
          <w:sz w:val="22"/>
          <w:szCs w:val="22"/>
        </w:rPr>
        <w:t xml:space="preserve"> malnutrition screening should be implemented for high-risk groups. Malnutrition severity in cancer patients depends on </w:t>
      </w:r>
      <w:r w:rsidRPr="00656147">
        <w:rPr>
          <w:rFonts w:ascii="Times New Roman" w:hAnsi="Times New Roman" w:cs="Times New Roman"/>
          <w:sz w:val="22"/>
          <w:szCs w:val="22"/>
        </w:rPr>
        <w:t>tumour</w:t>
      </w:r>
      <w:r w:rsidRPr="00656147">
        <w:rPr>
          <w:rFonts w:ascii="Times New Roman" w:hAnsi="Times New Roman" w:cs="Times New Roman"/>
          <w:sz w:val="22"/>
          <w:szCs w:val="22"/>
        </w:rPr>
        <w:t xml:space="preserve"> type, disease stage, and treatment. Common tools for detecting malnutrition in clinical practice include Subjective Global Assessment (SGA), Mini Nutritional Assessment (MNA), Short Form MNA (SF-MNA), Nutrition Risk Screening (NRS), and Malnutrition Universal Screening Tool (MUST).</w:t>
      </w:r>
    </w:p>
    <w:p w14:paraId="376F7C40" w14:textId="77777777" w:rsidR="002A32F3" w:rsidRDefault="002A32F3" w:rsidP="002A32F3">
      <w:pPr>
        <w:spacing w:after="0" w:line="360" w:lineRule="auto"/>
        <w:ind w:right="720"/>
        <w:jc w:val="both"/>
        <w:rPr>
          <w:rFonts w:ascii="Times New Roman" w:hAnsi="Times New Roman" w:cs="Times New Roman"/>
          <w:b/>
          <w:bCs/>
          <w:sz w:val="22"/>
          <w:szCs w:val="22"/>
        </w:rPr>
      </w:pPr>
    </w:p>
    <w:p w14:paraId="63DD9FFE" w14:textId="56425BA9" w:rsidR="00B0359E" w:rsidRPr="00B0359E" w:rsidRDefault="002A32F3" w:rsidP="002A32F3">
      <w:pPr>
        <w:spacing w:after="0" w:line="360" w:lineRule="auto"/>
        <w:ind w:right="720"/>
        <w:jc w:val="both"/>
        <w:rPr>
          <w:rFonts w:ascii="Times New Roman" w:hAnsi="Times New Roman" w:cs="Times New Roman"/>
          <w:b/>
          <w:bCs/>
          <w:sz w:val="22"/>
          <w:szCs w:val="22"/>
        </w:rPr>
      </w:pPr>
      <w:r>
        <w:rPr>
          <w:rFonts w:ascii="Times New Roman" w:hAnsi="Times New Roman" w:cs="Times New Roman"/>
          <w:b/>
          <w:bCs/>
          <w:sz w:val="22"/>
          <w:szCs w:val="22"/>
        </w:rPr>
        <w:t xml:space="preserve">            </w:t>
      </w:r>
      <w:r w:rsidR="00B0359E" w:rsidRPr="00B0359E">
        <w:rPr>
          <w:rFonts w:ascii="Times New Roman" w:hAnsi="Times New Roman" w:cs="Times New Roman"/>
          <w:b/>
          <w:bCs/>
          <w:sz w:val="22"/>
          <w:szCs w:val="22"/>
        </w:rPr>
        <w:t>Food Security Initiativ</w:t>
      </w:r>
      <w:r>
        <w:rPr>
          <w:rFonts w:ascii="Times New Roman" w:hAnsi="Times New Roman" w:cs="Times New Roman"/>
          <w:b/>
          <w:bCs/>
          <w:sz w:val="22"/>
          <w:szCs w:val="22"/>
        </w:rPr>
        <w:t>es</w:t>
      </w:r>
    </w:p>
    <w:p w14:paraId="384E6E0E" w14:textId="789DB4E7" w:rsidR="00B0359E" w:rsidRPr="005027C3" w:rsidRDefault="005027C3" w:rsidP="00B0359E">
      <w:pPr>
        <w:spacing w:after="0" w:line="360" w:lineRule="auto"/>
        <w:ind w:left="720" w:right="720"/>
        <w:jc w:val="both"/>
        <w:rPr>
          <w:rFonts w:ascii="Times New Roman" w:hAnsi="Times New Roman" w:cs="Times New Roman"/>
          <w:sz w:val="22"/>
          <w:szCs w:val="22"/>
        </w:rPr>
      </w:pPr>
      <w:r w:rsidRPr="005027C3">
        <w:rPr>
          <w:rFonts w:ascii="Times New Roman" w:hAnsi="Times New Roman" w:cs="Times New Roman"/>
          <w:sz w:val="22"/>
          <w:szCs w:val="22"/>
        </w:rPr>
        <w:t>Access to nutritious food was a fundamental factor in preventing malnutrition. Food security initiatives that ensured consistent access to affordable, nutritious food reduced malnutrition, particularly in low-income communities. Programs that supported local food production, such as community gardens or agricultural training, demonstrated positive results in improving nutritional intake. Micronutrient</w:t>
      </w:r>
      <w:r w:rsidR="00B0359E" w:rsidRPr="005027C3">
        <w:rPr>
          <w:rFonts w:ascii="Times New Roman" w:hAnsi="Times New Roman" w:cs="Times New Roman"/>
          <w:sz w:val="22"/>
          <w:szCs w:val="22"/>
        </w:rPr>
        <w:t xml:space="preserve"> </w:t>
      </w:r>
      <w:r w:rsidRPr="005027C3">
        <w:rPr>
          <w:rFonts w:ascii="Times New Roman" w:hAnsi="Times New Roman" w:cs="Times New Roman"/>
          <w:sz w:val="22"/>
          <w:szCs w:val="22"/>
        </w:rPr>
        <w:t>Supplementation</w:t>
      </w:r>
      <w:r>
        <w:rPr>
          <w:rFonts w:ascii="Times New Roman" w:hAnsi="Times New Roman" w:cs="Times New Roman"/>
          <w:sz w:val="22"/>
          <w:szCs w:val="22"/>
        </w:rPr>
        <w:t xml:space="preserve">. </w:t>
      </w:r>
      <w:proofErr w:type="gramStart"/>
      <w:r>
        <w:rPr>
          <w:rFonts w:ascii="Times New Roman" w:hAnsi="Times New Roman" w:cs="Times New Roman"/>
          <w:sz w:val="22"/>
          <w:szCs w:val="22"/>
        </w:rPr>
        <w:t xml:space="preserve">( </w:t>
      </w:r>
      <w:r w:rsidRPr="005027C3">
        <w:rPr>
          <w:rFonts w:ascii="Times New Roman" w:hAnsi="Times New Roman" w:cs="Times New Roman"/>
          <w:sz w:val="22"/>
          <w:szCs w:val="22"/>
        </w:rPr>
        <w:t>Isobel</w:t>
      </w:r>
      <w:proofErr w:type="gramEnd"/>
      <w:r w:rsidRPr="005027C3">
        <w:rPr>
          <w:rFonts w:ascii="Times New Roman" w:hAnsi="Times New Roman" w:cs="Times New Roman"/>
          <w:sz w:val="22"/>
          <w:szCs w:val="22"/>
        </w:rPr>
        <w:t xml:space="preserve"> R. Contento </w:t>
      </w:r>
      <w:r w:rsidRPr="005027C3">
        <w:rPr>
          <w:rFonts w:ascii="Times New Roman" w:hAnsi="Times New Roman" w:cs="Times New Roman"/>
          <w:sz w:val="22"/>
          <w:szCs w:val="22"/>
          <w:vertAlign w:val="superscript"/>
        </w:rPr>
        <w:t>1</w:t>
      </w:r>
      <w:r w:rsidRPr="005027C3">
        <w:rPr>
          <w:rFonts w:ascii="Times New Roman" w:hAnsi="Times New Roman" w:cs="Times New Roman"/>
          <w:sz w:val="22"/>
          <w:szCs w:val="22"/>
        </w:rPr>
        <w:t>,</w:t>
      </w:r>
      <w:r w:rsidRPr="005027C3">
        <w:t xml:space="preserve"> </w:t>
      </w:r>
      <w:r w:rsidRPr="005027C3">
        <w:rPr>
          <w:rFonts w:ascii="Times New Roman" w:hAnsi="Times New Roman" w:cs="Times New Roman"/>
          <w:sz w:val="22"/>
          <w:szCs w:val="22"/>
        </w:rPr>
        <w:t> </w:t>
      </w:r>
      <w:r>
        <w:rPr>
          <w:rFonts w:ascii="Times New Roman" w:hAnsi="Times New Roman" w:cs="Times New Roman"/>
          <w:sz w:val="22"/>
          <w:szCs w:val="22"/>
        </w:rPr>
        <w:t>et</w:t>
      </w:r>
      <w:r w:rsidR="00656147">
        <w:rPr>
          <w:rFonts w:ascii="Times New Roman" w:hAnsi="Times New Roman" w:cs="Times New Roman"/>
          <w:sz w:val="22"/>
          <w:szCs w:val="22"/>
        </w:rPr>
        <w:t xml:space="preserve"> </w:t>
      </w:r>
      <w:r>
        <w:rPr>
          <w:rFonts w:ascii="Times New Roman" w:hAnsi="Times New Roman" w:cs="Times New Roman"/>
          <w:sz w:val="22"/>
          <w:szCs w:val="22"/>
        </w:rPr>
        <w:t xml:space="preserve">al  </w:t>
      </w:r>
      <w:r w:rsidRPr="005027C3">
        <w:rPr>
          <w:rFonts w:ascii="Times New Roman" w:hAnsi="Times New Roman" w:cs="Times New Roman"/>
          <w:sz w:val="22"/>
          <w:szCs w:val="22"/>
        </w:rPr>
        <w:t>Oct</w:t>
      </w:r>
      <w:r>
        <w:rPr>
          <w:rFonts w:ascii="Times New Roman" w:hAnsi="Times New Roman" w:cs="Times New Roman"/>
          <w:sz w:val="22"/>
          <w:szCs w:val="22"/>
        </w:rPr>
        <w:t>1992)</w:t>
      </w:r>
    </w:p>
    <w:p w14:paraId="0B4C9AA1" w14:textId="02BC70E0" w:rsidR="002A32F3" w:rsidRPr="002A32F3" w:rsidRDefault="00B0359E" w:rsidP="002A32F3">
      <w:pPr>
        <w:spacing w:after="0" w:line="360" w:lineRule="auto"/>
        <w:ind w:left="720" w:right="720"/>
        <w:jc w:val="both"/>
        <w:rPr>
          <w:rFonts w:ascii="Times New Roman" w:hAnsi="Times New Roman" w:cs="Times New Roman"/>
          <w:sz w:val="22"/>
          <w:szCs w:val="22"/>
        </w:rPr>
      </w:pPr>
      <w:r w:rsidRPr="00B0359E">
        <w:rPr>
          <w:rFonts w:ascii="Times New Roman" w:hAnsi="Times New Roman" w:cs="Times New Roman"/>
          <w:sz w:val="22"/>
          <w:szCs w:val="22"/>
        </w:rPr>
        <w:t>Micronutrient deficiencies, such as iron, vitamin A, and iodine, are prevalent causes of malnutrition. Supplementation programs that provide essential nutrients have been effective in reducing deficiencies and promoting better health, particularly in children and pregnant women. Fortified foods, such as iodized salt and vitamin A-enriched oils, also contribute to the prevention of malnutrition in larger populations</w:t>
      </w:r>
      <w:r w:rsidR="00941394">
        <w:rPr>
          <w:rFonts w:ascii="Times New Roman" w:hAnsi="Times New Roman" w:cs="Times New Roman"/>
          <w:sz w:val="22"/>
          <w:szCs w:val="22"/>
        </w:rPr>
        <w:t xml:space="preserve"> </w:t>
      </w:r>
      <w:r w:rsidR="00157D13">
        <w:rPr>
          <w:rFonts w:ascii="Times New Roman" w:hAnsi="Times New Roman" w:cs="Times New Roman"/>
          <w:sz w:val="22"/>
          <w:szCs w:val="22"/>
          <w:vertAlign w:val="superscript"/>
        </w:rPr>
        <w:t>3</w:t>
      </w:r>
      <w:r w:rsidRPr="00B0359E">
        <w:rPr>
          <w:rFonts w:ascii="Times New Roman" w:hAnsi="Times New Roman" w:cs="Times New Roman"/>
          <w:sz w:val="22"/>
          <w:szCs w:val="22"/>
        </w:rPr>
        <w:t>.</w:t>
      </w:r>
      <w:r w:rsidR="00D11F98">
        <w:rPr>
          <w:rFonts w:ascii="Times New Roman" w:hAnsi="Times New Roman" w:cs="Times New Roman"/>
          <w:sz w:val="22"/>
          <w:szCs w:val="22"/>
        </w:rPr>
        <w:t xml:space="preserve"> </w:t>
      </w:r>
      <w:r w:rsidR="002A32F3">
        <w:rPr>
          <w:rFonts w:ascii="Times New Roman" w:hAnsi="Times New Roman" w:cs="Times New Roman"/>
          <w:sz w:val="22"/>
          <w:szCs w:val="22"/>
        </w:rPr>
        <w:t>(</w:t>
      </w:r>
      <w:hyperlink r:id="rId8" w:tooltip="P.J Gregory" w:history="1">
        <w:r w:rsidR="002A32F3" w:rsidRPr="00656147">
          <w:rPr>
            <w:rStyle w:val="Hyperlink"/>
            <w:rFonts w:ascii="Times New Roman" w:hAnsi="Times New Roman" w:cs="Times New Roman"/>
            <w:color w:val="000000" w:themeColor="text1"/>
            <w:sz w:val="22"/>
            <w:szCs w:val="22"/>
          </w:rPr>
          <w:t>P.J Gregory</w:t>
        </w:r>
      </w:hyperlink>
      <w:r w:rsidR="002A32F3" w:rsidRPr="00656147">
        <w:rPr>
          <w:rFonts w:ascii="Times New Roman" w:hAnsi="Times New Roman" w:cs="Times New Roman"/>
          <w:color w:val="000000" w:themeColor="text1"/>
          <w:sz w:val="22"/>
          <w:szCs w:val="22"/>
        </w:rPr>
        <w:t xml:space="preserve"> </w:t>
      </w:r>
      <w:hyperlink r:id="rId9" w:tooltip="J.S.I Ingram" w:history="1">
        <w:r w:rsidR="002A32F3" w:rsidRPr="00656147">
          <w:rPr>
            <w:rStyle w:val="Hyperlink"/>
            <w:rFonts w:ascii="Times New Roman" w:hAnsi="Times New Roman" w:cs="Times New Roman"/>
            <w:color w:val="000000" w:themeColor="text1"/>
            <w:sz w:val="22"/>
            <w:szCs w:val="22"/>
          </w:rPr>
          <w:t>J.S.I Ingram</w:t>
        </w:r>
      </w:hyperlink>
      <w:r w:rsidR="002A32F3">
        <w:rPr>
          <w:rFonts w:ascii="Times New Roman" w:hAnsi="Times New Roman" w:cs="Times New Roman"/>
          <w:sz w:val="22"/>
          <w:szCs w:val="22"/>
        </w:rPr>
        <w:t xml:space="preserve">  2005)</w:t>
      </w:r>
    </w:p>
    <w:p w14:paraId="33E0E2B5" w14:textId="14D4D0FB" w:rsidR="00B0359E" w:rsidRPr="00B0359E" w:rsidRDefault="00B0359E" w:rsidP="00B0359E">
      <w:pPr>
        <w:spacing w:after="0" w:line="360" w:lineRule="auto"/>
        <w:ind w:left="720" w:right="720"/>
        <w:jc w:val="both"/>
        <w:rPr>
          <w:rFonts w:ascii="Times New Roman" w:hAnsi="Times New Roman" w:cs="Times New Roman"/>
          <w:sz w:val="22"/>
          <w:szCs w:val="22"/>
        </w:rPr>
      </w:pPr>
    </w:p>
    <w:p w14:paraId="55660881" w14:textId="77777777" w:rsidR="00B0359E" w:rsidRDefault="00B0359E" w:rsidP="00B0359E">
      <w:pPr>
        <w:spacing w:after="0" w:line="360" w:lineRule="auto"/>
        <w:ind w:left="720" w:right="720"/>
        <w:jc w:val="both"/>
        <w:rPr>
          <w:rFonts w:ascii="Times New Roman" w:hAnsi="Times New Roman" w:cs="Times New Roman"/>
          <w:b/>
          <w:bCs/>
          <w:sz w:val="22"/>
          <w:szCs w:val="22"/>
        </w:rPr>
      </w:pPr>
      <w:r w:rsidRPr="00B0359E">
        <w:rPr>
          <w:rFonts w:ascii="Times New Roman" w:hAnsi="Times New Roman" w:cs="Times New Roman"/>
          <w:b/>
          <w:bCs/>
          <w:sz w:val="22"/>
          <w:szCs w:val="22"/>
        </w:rPr>
        <w:t>Breastfeeding Promotion</w:t>
      </w:r>
    </w:p>
    <w:p w14:paraId="44C1E699" w14:textId="1CFEE731" w:rsidR="007550E3" w:rsidRPr="007550E3" w:rsidRDefault="007550E3" w:rsidP="007550E3">
      <w:pPr>
        <w:spacing w:after="0" w:line="360" w:lineRule="auto"/>
        <w:ind w:left="720" w:right="720"/>
        <w:jc w:val="both"/>
        <w:rPr>
          <w:rFonts w:ascii="Times New Roman" w:hAnsi="Times New Roman" w:cs="Times New Roman"/>
          <w:sz w:val="22"/>
          <w:szCs w:val="22"/>
        </w:rPr>
      </w:pPr>
      <w:r w:rsidRPr="007550E3">
        <w:rPr>
          <w:rFonts w:ascii="Times New Roman" w:hAnsi="Times New Roman" w:cs="Times New Roman"/>
          <w:sz w:val="22"/>
          <w:szCs w:val="22"/>
        </w:rPr>
        <w:t>Breastfeeding is often a highly emotional and debated topic. International health organizations recommend exclusive breastfeeding for the first 4–6 months, followed by partial breastfeeding into the second year, to improve infant health and reduce the risk of malnutrition and infections. But how well do these recommendations align with scientific evidence? Are they overly simplified for emotional or public health reasons?</w:t>
      </w:r>
      <w:r>
        <w:rPr>
          <w:rFonts w:ascii="Times New Roman" w:hAnsi="Times New Roman" w:cs="Times New Roman"/>
          <w:sz w:val="22"/>
          <w:szCs w:val="22"/>
        </w:rPr>
        <w:t xml:space="preserve"> </w:t>
      </w:r>
      <w:r w:rsidRPr="007550E3">
        <w:rPr>
          <w:rFonts w:ascii="Times New Roman" w:hAnsi="Times New Roman" w:cs="Times New Roman"/>
          <w:sz w:val="22"/>
          <w:szCs w:val="22"/>
        </w:rPr>
        <w:t>Breastfeeding is believed to benefit infants because breast milk provides the perfect balance of nutrients, supports the development of the infant’s gut and immune system, and helps prevent pathogen exposure. However, some contradictory findings exist. In environments with low contamination, breastfed infants sometimes show slower growth compared to those fed formula. Additionally, partial breastfeeding in such settings does not seem to cause more gut damage than exclusive breastfeeding, suggesting that promoting gut development may be more important than simply avoiding pathogens from other foods.</w:t>
      </w:r>
      <w:r w:rsidRPr="007550E3">
        <w:rPr>
          <w:rFonts w:ascii="Noto Sans" w:hAnsi="Noto Sans" w:cs="Noto Sans"/>
          <w:b/>
          <w:bCs/>
          <w:color w:val="333333"/>
          <w:sz w:val="21"/>
          <w:shd w:val="clear" w:color="auto" w:fill="FFFFFF"/>
        </w:rPr>
        <w:t xml:space="preserve"> </w:t>
      </w:r>
      <w:r>
        <w:rPr>
          <w:rFonts w:ascii="Noto Sans" w:hAnsi="Noto Sans" w:cs="Noto Sans"/>
          <w:b/>
          <w:bCs/>
          <w:color w:val="333333"/>
          <w:sz w:val="21"/>
          <w:shd w:val="clear" w:color="auto" w:fill="FFFFFF"/>
        </w:rPr>
        <w:t>(</w:t>
      </w:r>
      <w:r w:rsidRPr="007550E3">
        <w:rPr>
          <w:rFonts w:ascii="Times New Roman" w:hAnsi="Times New Roman" w:cs="Times New Roman"/>
          <w:sz w:val="22"/>
          <w:szCs w:val="22"/>
        </w:rPr>
        <w:t>Filteau SM.</w:t>
      </w:r>
      <w:r>
        <w:rPr>
          <w:rFonts w:ascii="Times New Roman" w:hAnsi="Times New Roman" w:cs="Times New Roman"/>
          <w:sz w:val="22"/>
          <w:szCs w:val="22"/>
        </w:rPr>
        <w:t>2007)</w:t>
      </w:r>
    </w:p>
    <w:p w14:paraId="46611308" w14:textId="23F68D58" w:rsidR="00B0359E" w:rsidRPr="00F91164" w:rsidRDefault="00B0359E" w:rsidP="00B0359E">
      <w:pPr>
        <w:spacing w:after="0" w:line="360" w:lineRule="auto"/>
        <w:ind w:left="720" w:right="720"/>
        <w:jc w:val="both"/>
        <w:rPr>
          <w:rFonts w:ascii="Times New Roman" w:hAnsi="Times New Roman" w:cs="Times New Roman"/>
          <w:sz w:val="22"/>
          <w:szCs w:val="22"/>
        </w:rPr>
      </w:pPr>
    </w:p>
    <w:p w14:paraId="1523EF67" w14:textId="5747129E" w:rsidR="00B0359E" w:rsidRPr="00F91164" w:rsidRDefault="00B0359E" w:rsidP="00B0359E">
      <w:pPr>
        <w:spacing w:after="0" w:line="360" w:lineRule="auto"/>
        <w:ind w:left="720" w:right="720"/>
        <w:jc w:val="both"/>
        <w:rPr>
          <w:rFonts w:ascii="Times New Roman" w:hAnsi="Times New Roman" w:cs="Times New Roman"/>
          <w:b/>
          <w:bCs/>
          <w:sz w:val="22"/>
          <w:szCs w:val="22"/>
        </w:rPr>
      </w:pPr>
    </w:p>
    <w:p w14:paraId="1EA3FF90" w14:textId="77777777" w:rsidR="00B0359E" w:rsidRDefault="00B0359E" w:rsidP="00B0359E">
      <w:pPr>
        <w:spacing w:after="0" w:line="360" w:lineRule="auto"/>
        <w:ind w:left="720" w:right="720"/>
        <w:jc w:val="both"/>
        <w:rPr>
          <w:rFonts w:ascii="Times New Roman" w:hAnsi="Times New Roman" w:cs="Times New Roman"/>
          <w:b/>
          <w:bCs/>
          <w:sz w:val="22"/>
          <w:szCs w:val="22"/>
        </w:rPr>
      </w:pPr>
      <w:r w:rsidRPr="00B0359E">
        <w:rPr>
          <w:rFonts w:ascii="Times New Roman" w:hAnsi="Times New Roman" w:cs="Times New Roman"/>
          <w:b/>
          <w:bCs/>
          <w:sz w:val="22"/>
          <w:szCs w:val="22"/>
        </w:rPr>
        <w:t>Factors Contributing to Effective Interventions</w:t>
      </w:r>
    </w:p>
    <w:p w14:paraId="4383C6D4" w14:textId="44A653B0" w:rsidR="00EF6697" w:rsidRPr="00EF6697" w:rsidRDefault="00EF6697" w:rsidP="00B0359E">
      <w:pPr>
        <w:spacing w:after="0" w:line="360" w:lineRule="auto"/>
        <w:ind w:left="720" w:right="720"/>
        <w:jc w:val="both"/>
        <w:rPr>
          <w:rFonts w:ascii="Times New Roman" w:hAnsi="Times New Roman" w:cs="Times New Roman"/>
          <w:sz w:val="22"/>
          <w:szCs w:val="22"/>
        </w:rPr>
      </w:pPr>
      <w:r w:rsidRPr="00EF6697">
        <w:rPr>
          <w:rFonts w:ascii="Times New Roman" w:hAnsi="Times New Roman" w:cs="Times New Roman"/>
          <w:sz w:val="22"/>
          <w:szCs w:val="22"/>
        </w:rPr>
        <w:t>In this study, over half of the malnourished children were aged 6-12 months, a period coinciding with weaning, suggesting that improper weaning or complementary feeding may contribute to malnutrition</w:t>
      </w:r>
      <w:proofErr w:type="gramStart"/>
      <w:r w:rsidRPr="00EF6697">
        <w:rPr>
          <w:rFonts w:ascii="Times New Roman" w:hAnsi="Times New Roman" w:cs="Times New Roman"/>
          <w:sz w:val="22"/>
          <w:szCs w:val="22"/>
        </w:rPr>
        <w:t xml:space="preserve"> </w:t>
      </w:r>
      <w:r>
        <w:rPr>
          <w:rFonts w:ascii="Times New Roman" w:hAnsi="Times New Roman" w:cs="Times New Roman"/>
          <w:sz w:val="22"/>
          <w:szCs w:val="22"/>
        </w:rPr>
        <w:t>.</w:t>
      </w:r>
      <w:r w:rsidRPr="00EF6697">
        <w:rPr>
          <w:rFonts w:ascii="Times New Roman" w:hAnsi="Times New Roman" w:cs="Times New Roman"/>
          <w:sz w:val="22"/>
          <w:szCs w:val="22"/>
        </w:rPr>
        <w:t>.</w:t>
      </w:r>
      <w:proofErr w:type="gramEnd"/>
      <w:r w:rsidRPr="00EF6697">
        <w:rPr>
          <w:rFonts w:ascii="Times New Roman" w:hAnsi="Times New Roman" w:cs="Times New Roman"/>
          <w:sz w:val="22"/>
          <w:szCs w:val="22"/>
        </w:rPr>
        <w:t xml:space="preserve"> A similar pattern was found in a study in Enugu, </w:t>
      </w:r>
      <w:proofErr w:type="gramStart"/>
      <w:r w:rsidRPr="00EF6697">
        <w:rPr>
          <w:rFonts w:ascii="Times New Roman" w:hAnsi="Times New Roman" w:cs="Times New Roman"/>
          <w:sz w:val="22"/>
          <w:szCs w:val="22"/>
        </w:rPr>
        <w:t>Nigeria .</w:t>
      </w:r>
      <w:proofErr w:type="gramEnd"/>
      <w:r w:rsidRPr="00EF6697">
        <w:rPr>
          <w:rFonts w:ascii="Times New Roman" w:hAnsi="Times New Roman" w:cs="Times New Roman"/>
          <w:sz w:val="22"/>
          <w:szCs w:val="22"/>
        </w:rPr>
        <w:t xml:space="preserve"> Our analysis also showed that children aged 24 months or younger were more likely to be malnourished, highlighting the vulnerability of this age </w:t>
      </w:r>
      <w:proofErr w:type="gramStart"/>
      <w:r w:rsidRPr="00EF6697">
        <w:rPr>
          <w:rFonts w:ascii="Times New Roman" w:hAnsi="Times New Roman" w:cs="Times New Roman"/>
          <w:sz w:val="22"/>
          <w:szCs w:val="22"/>
        </w:rPr>
        <w:t>group .</w:t>
      </w:r>
      <w:proofErr w:type="gramEnd"/>
      <w:r w:rsidRPr="00EF6697">
        <w:rPr>
          <w:rFonts w:ascii="Times New Roman" w:hAnsi="Times New Roman" w:cs="Times New Roman"/>
          <w:sz w:val="22"/>
          <w:szCs w:val="22"/>
        </w:rPr>
        <w:t xml:space="preserve"> This period offers a key opportunity for intervention, which is the focus of the Scaling Up Nutrition (SUN) movement, aiming to improve nutrition during pregnancy and early childhood through coordinated, multi-sectoral efforts </w:t>
      </w:r>
      <w:r>
        <w:rPr>
          <w:rFonts w:ascii="Times New Roman" w:hAnsi="Times New Roman" w:cs="Times New Roman"/>
          <w:sz w:val="22"/>
          <w:szCs w:val="22"/>
        </w:rPr>
        <w:t>.(</w:t>
      </w:r>
      <w:r w:rsidRPr="00EF6697">
        <w:t xml:space="preserve"> </w:t>
      </w:r>
      <w:hyperlink r:id="rId10" w:anchor="auth-Edem_M__A_-Tette-Aff1-Aff2" w:history="1">
        <w:r w:rsidRPr="00EF6697">
          <w:rPr>
            <w:rStyle w:val="Hyperlink"/>
            <w:rFonts w:ascii="Times New Roman" w:hAnsi="Times New Roman" w:cs="Times New Roman"/>
            <w:color w:val="auto"/>
            <w:sz w:val="22"/>
            <w:szCs w:val="22"/>
          </w:rPr>
          <w:t>Edem M. A. Tette</w:t>
        </w:r>
      </w:hyperlink>
      <w:r w:rsidRPr="00EF6697">
        <w:rPr>
          <w:rFonts w:ascii="Times New Roman" w:hAnsi="Times New Roman" w:cs="Times New Roman"/>
          <w:sz w:val="22"/>
          <w:szCs w:val="22"/>
        </w:rPr>
        <w:t>,</w:t>
      </w:r>
      <w:r w:rsidRPr="00EF6697">
        <w:rPr>
          <w:rFonts w:ascii="Times New Roman" w:hAnsi="Times New Roman" w:cs="Times New Roman"/>
          <w:sz w:val="22"/>
          <w:szCs w:val="22"/>
        </w:rPr>
        <w:t xml:space="preserve"> 2015</w:t>
      </w:r>
      <w:r>
        <w:rPr>
          <w:rFonts w:ascii="Times New Roman" w:hAnsi="Times New Roman" w:cs="Times New Roman"/>
          <w:sz w:val="22"/>
          <w:szCs w:val="22"/>
        </w:rPr>
        <w:t>)</w:t>
      </w:r>
    </w:p>
    <w:p w14:paraId="1154596D" w14:textId="7F00EFAD" w:rsidR="00B0359E" w:rsidRPr="00F91164" w:rsidRDefault="00B0359E" w:rsidP="00C849B0">
      <w:pPr>
        <w:numPr>
          <w:ilvl w:val="0"/>
          <w:numId w:val="8"/>
        </w:numPr>
        <w:spacing w:after="0" w:line="360" w:lineRule="auto"/>
        <w:ind w:right="720"/>
        <w:jc w:val="both"/>
        <w:rPr>
          <w:rFonts w:ascii="Times New Roman" w:hAnsi="Times New Roman" w:cs="Times New Roman"/>
          <w:b/>
          <w:bCs/>
          <w:sz w:val="22"/>
          <w:szCs w:val="22"/>
        </w:rPr>
      </w:pPr>
      <w:r w:rsidRPr="00F91164">
        <w:rPr>
          <w:rFonts w:ascii="Times New Roman" w:hAnsi="Times New Roman" w:cs="Times New Roman"/>
          <w:b/>
          <w:bCs/>
          <w:sz w:val="22"/>
          <w:szCs w:val="22"/>
        </w:rPr>
        <w:t>Implications for Global Health</w:t>
      </w:r>
    </w:p>
    <w:p w14:paraId="0FAF44BC" w14:textId="2D2CBA1D" w:rsidR="00B0359E" w:rsidRPr="00B0359E" w:rsidRDefault="00F91164" w:rsidP="00B0359E">
      <w:pPr>
        <w:spacing w:after="0" w:line="360" w:lineRule="auto"/>
        <w:ind w:left="720" w:right="720"/>
        <w:jc w:val="both"/>
        <w:rPr>
          <w:rFonts w:ascii="Times New Roman" w:hAnsi="Times New Roman" w:cs="Times New Roman"/>
          <w:b/>
          <w:bCs/>
          <w:sz w:val="22"/>
          <w:szCs w:val="22"/>
        </w:rPr>
      </w:pPr>
      <w:r w:rsidRPr="00F91164">
        <w:rPr>
          <w:rFonts w:ascii="Times New Roman" w:hAnsi="Times New Roman" w:cs="Times New Roman"/>
          <w:sz w:val="22"/>
          <w:szCs w:val="22"/>
        </w:rPr>
        <w:t xml:space="preserve">The success of community-based interventions in preventing malnutrition had significant implications for global health. As malnutrition contributed to a wide range of health issues, including stunted growth, cognitive impairments, and increased susceptibility to infections, addressing these issues at the community level had substantially improved public health outcomes. Moreover, these interventions had contributed to reducing the economic burden of malnutrition-related diseases and improving overall quality of life. </w:t>
      </w:r>
      <w:r w:rsidR="00D11F98" w:rsidRPr="00ED4488">
        <w:rPr>
          <w:rFonts w:ascii="Times New Roman" w:hAnsi="Times New Roman" w:cs="Times New Roman"/>
          <w:color w:val="0D0D0D" w:themeColor="text1" w:themeTint="F2"/>
          <w:sz w:val="22"/>
          <w:szCs w:val="22"/>
        </w:rPr>
        <w:t>(</w:t>
      </w:r>
      <w:hyperlink r:id="rId11" w:history="1">
        <w:r w:rsidR="00DD6191" w:rsidRPr="00ED4488">
          <w:rPr>
            <w:rStyle w:val="Hyperlink"/>
            <w:rFonts w:ascii="Times New Roman" w:hAnsi="Times New Roman" w:cs="Times New Roman"/>
            <w:color w:val="0D0D0D" w:themeColor="text1" w:themeTint="F2"/>
            <w:sz w:val="22"/>
            <w:szCs w:val="22"/>
          </w:rPr>
          <w:t>Dr Tiffany E Chao, MD</w:t>
        </w:r>
      </w:hyperlink>
      <w:r w:rsidR="00DD6191" w:rsidRPr="00ED4488">
        <w:rPr>
          <w:rFonts w:ascii="Times New Roman" w:hAnsi="Times New Roman" w:cs="Times New Roman"/>
          <w:color w:val="0D0D0D" w:themeColor="text1" w:themeTint="F2"/>
          <w:sz w:val="22"/>
          <w:szCs w:val="22"/>
        </w:rPr>
        <w:t xml:space="preserve"> 2014)</w:t>
      </w:r>
      <w:r w:rsidR="00DD6191" w:rsidRPr="00ED4488">
        <w:rPr>
          <w:rFonts w:ascii="Times New Roman" w:hAnsi="Times New Roman" w:cs="Times New Roman"/>
          <w:b/>
          <w:bCs/>
          <w:color w:val="0D0D0D" w:themeColor="text1" w:themeTint="F2"/>
          <w:sz w:val="22"/>
          <w:szCs w:val="22"/>
        </w:rPr>
        <w:t xml:space="preserve"> </w:t>
      </w:r>
    </w:p>
    <w:p w14:paraId="51ECA9CD" w14:textId="77777777" w:rsidR="00B0359E" w:rsidRPr="00B0359E" w:rsidRDefault="00B0359E" w:rsidP="00B0359E">
      <w:pPr>
        <w:spacing w:after="0" w:line="360" w:lineRule="auto"/>
        <w:ind w:left="720" w:right="720"/>
        <w:jc w:val="both"/>
        <w:rPr>
          <w:rFonts w:ascii="Times New Roman" w:hAnsi="Times New Roman" w:cs="Times New Roman"/>
          <w:b/>
          <w:bCs/>
          <w:sz w:val="22"/>
          <w:szCs w:val="22"/>
        </w:rPr>
      </w:pPr>
      <w:r w:rsidRPr="00B0359E">
        <w:rPr>
          <w:rFonts w:ascii="Times New Roman" w:hAnsi="Times New Roman" w:cs="Times New Roman"/>
          <w:b/>
          <w:bCs/>
          <w:sz w:val="22"/>
          <w:szCs w:val="22"/>
        </w:rPr>
        <w:t>Intervention Strategies</w:t>
      </w:r>
    </w:p>
    <w:p w14:paraId="51BDAACA" w14:textId="28AB6669" w:rsidR="00DD6191" w:rsidRPr="00DD6191" w:rsidRDefault="00DD6191" w:rsidP="00DD6191">
      <w:pPr>
        <w:spacing w:after="0" w:line="360" w:lineRule="auto"/>
        <w:ind w:left="720" w:right="720"/>
        <w:jc w:val="both"/>
        <w:rPr>
          <w:rFonts w:ascii="Times New Roman" w:hAnsi="Times New Roman" w:cs="Times New Roman"/>
          <w:sz w:val="22"/>
          <w:szCs w:val="22"/>
        </w:rPr>
      </w:pPr>
      <w:r w:rsidRPr="00DD6191">
        <w:rPr>
          <w:rFonts w:ascii="Times New Roman" w:hAnsi="Times New Roman" w:cs="Times New Roman"/>
          <w:sz w:val="22"/>
          <w:szCs w:val="22"/>
        </w:rPr>
        <w:t>To enhance the effectiveness of community-based interventions, the following strategies were recommended:</w:t>
      </w:r>
      <w:r w:rsidRPr="00DD6191">
        <w:rPr>
          <w:rFonts w:ascii="Times New Roman" w:hAnsi="Times New Roman" w:cs="Times New Roman"/>
          <w:sz w:val="22"/>
          <w:szCs w:val="22"/>
        </w:rPr>
        <w:br/>
      </w:r>
      <w:r w:rsidRPr="00DD6191">
        <w:rPr>
          <w:rFonts w:ascii="Times New Roman" w:hAnsi="Times New Roman" w:cs="Times New Roman"/>
          <w:sz w:val="22"/>
          <w:szCs w:val="22"/>
        </w:rPr>
        <w:lastRenderedPageBreak/>
        <w:t xml:space="preserve">• </w:t>
      </w:r>
      <w:r w:rsidRPr="00DD6191">
        <w:rPr>
          <w:rFonts w:ascii="Times New Roman" w:hAnsi="Times New Roman" w:cs="Times New Roman"/>
          <w:b/>
          <w:bCs/>
          <w:sz w:val="22"/>
          <w:szCs w:val="22"/>
        </w:rPr>
        <w:t>Integrating Health and Nutrition Education into School Curricula</w:t>
      </w:r>
      <w:r w:rsidRPr="00DD6191">
        <w:rPr>
          <w:rFonts w:ascii="Times New Roman" w:hAnsi="Times New Roman" w:cs="Times New Roman"/>
          <w:sz w:val="22"/>
          <w:szCs w:val="22"/>
        </w:rPr>
        <w:t>: Teaching children and young adults about the importance of nutrition from an early age instilled long-term healthy habits.</w:t>
      </w:r>
      <w:r w:rsidRPr="00DD6191">
        <w:rPr>
          <w:rFonts w:ascii="Times New Roman" w:hAnsi="Times New Roman" w:cs="Times New Roman"/>
          <w:sz w:val="22"/>
          <w:szCs w:val="22"/>
        </w:rPr>
        <w:br/>
        <w:t xml:space="preserve">• </w:t>
      </w:r>
      <w:r w:rsidRPr="00DD6191">
        <w:rPr>
          <w:rFonts w:ascii="Times New Roman" w:hAnsi="Times New Roman" w:cs="Times New Roman"/>
          <w:b/>
          <w:bCs/>
          <w:sz w:val="22"/>
          <w:szCs w:val="22"/>
        </w:rPr>
        <w:t>Promoting Community Partnerships</w:t>
      </w:r>
      <w:r w:rsidRPr="00DD6191">
        <w:rPr>
          <w:rFonts w:ascii="Times New Roman" w:hAnsi="Times New Roman" w:cs="Times New Roman"/>
          <w:sz w:val="22"/>
          <w:szCs w:val="22"/>
        </w:rPr>
        <w:t>: Collaboration between local governments, non-governmental organizations (NGOs), and community groups led to more effective and sustainable programs.</w:t>
      </w:r>
      <w:r w:rsidRPr="00DD6191">
        <w:rPr>
          <w:rFonts w:ascii="Times New Roman" w:hAnsi="Times New Roman" w:cs="Times New Roman"/>
          <w:sz w:val="22"/>
          <w:szCs w:val="22"/>
        </w:rPr>
        <w:br/>
        <w:t xml:space="preserve">• </w:t>
      </w:r>
      <w:r w:rsidRPr="00DD6191">
        <w:rPr>
          <w:rFonts w:ascii="Times New Roman" w:hAnsi="Times New Roman" w:cs="Times New Roman"/>
          <w:b/>
          <w:bCs/>
          <w:sz w:val="22"/>
          <w:szCs w:val="22"/>
        </w:rPr>
        <w:t>Monitoring and Evaluation</w:t>
      </w:r>
      <w:r w:rsidRPr="00DD6191">
        <w:rPr>
          <w:rFonts w:ascii="Times New Roman" w:hAnsi="Times New Roman" w:cs="Times New Roman"/>
          <w:sz w:val="22"/>
          <w:szCs w:val="22"/>
        </w:rPr>
        <w:t>: Regular assessment of community nutrition programs ensured that they were meeting their goals and allowed for modifications to improve effectiveness.</w:t>
      </w:r>
      <w:r>
        <w:rPr>
          <w:rFonts w:ascii="Times New Roman" w:hAnsi="Times New Roman" w:cs="Times New Roman"/>
          <w:sz w:val="22"/>
          <w:szCs w:val="22"/>
        </w:rPr>
        <w:t>(</w:t>
      </w:r>
      <w:r w:rsidRPr="00DD6191">
        <w:rPr>
          <w:rFonts w:ascii="Times New Roman" w:eastAsia="Times New Roman" w:hAnsi="Symbol" w:cs="Times New Roman"/>
          <w:kern w:val="0"/>
          <w:szCs w:val="24"/>
          <w:lang w:eastAsia="en-IN" w:bidi="ar-SA"/>
          <w14:ligatures w14:val="none"/>
        </w:rPr>
        <w:t xml:space="preserve"> </w:t>
      </w:r>
      <w:r w:rsidRPr="00DD6191">
        <w:rPr>
          <w:rFonts w:ascii="Times New Roman" w:hAnsi="Times New Roman" w:cs="Times New Roman"/>
          <w:sz w:val="22"/>
          <w:szCs w:val="22"/>
        </w:rPr>
        <w:t xml:space="preserve"> </w:t>
      </w:r>
      <w:hyperlink r:id="rId12" w:anchor="auth-Stefan-Nickel-Aff1" w:history="1">
        <w:r w:rsidRPr="00DD6191">
          <w:rPr>
            <w:rStyle w:val="Hyperlink"/>
            <w:rFonts w:ascii="Times New Roman" w:hAnsi="Times New Roman" w:cs="Times New Roman"/>
            <w:sz w:val="22"/>
            <w:szCs w:val="22"/>
          </w:rPr>
          <w:t>Stefan Nickel</w:t>
        </w:r>
      </w:hyperlink>
      <w:r w:rsidRPr="00DD6191">
        <w:rPr>
          <w:rFonts w:ascii="Times New Roman" w:hAnsi="Times New Roman" w:cs="Times New Roman"/>
          <w:sz w:val="22"/>
          <w:szCs w:val="22"/>
        </w:rPr>
        <w:t> &amp; </w:t>
      </w:r>
    </w:p>
    <w:p w14:paraId="364761FE" w14:textId="448B581E" w:rsidR="00DD6191" w:rsidRPr="00DD6191" w:rsidRDefault="00DD6191" w:rsidP="00DD6191">
      <w:pPr>
        <w:spacing w:after="0" w:line="360" w:lineRule="auto"/>
        <w:ind w:left="720" w:right="720"/>
        <w:jc w:val="both"/>
        <w:rPr>
          <w:rFonts w:ascii="Times New Roman" w:hAnsi="Times New Roman" w:cs="Times New Roman"/>
          <w:sz w:val="22"/>
          <w:szCs w:val="22"/>
        </w:rPr>
      </w:pPr>
      <w:r w:rsidRPr="00DD6191">
        <w:rPr>
          <w:rFonts w:ascii="Times New Roman" w:hAnsi="Times New Roman" w:cs="Times New Roman"/>
          <w:sz w:val="22"/>
          <w:szCs w:val="22"/>
        </w:rPr>
        <w:t xml:space="preserve"> </w:t>
      </w:r>
      <w:hyperlink r:id="rId13" w:anchor="auth-Olaf-Knesebeck-Aff1" w:history="1">
        <w:r w:rsidRPr="00DD6191">
          <w:rPr>
            <w:rStyle w:val="Hyperlink"/>
            <w:rFonts w:ascii="Times New Roman" w:hAnsi="Times New Roman" w:cs="Times New Roman"/>
            <w:sz w:val="22"/>
            <w:szCs w:val="22"/>
          </w:rPr>
          <w:t xml:space="preserve">Olaf von </w:t>
        </w:r>
        <w:proofErr w:type="spellStart"/>
        <w:r w:rsidRPr="00DD6191">
          <w:rPr>
            <w:rStyle w:val="Hyperlink"/>
            <w:rFonts w:ascii="Times New Roman" w:hAnsi="Times New Roman" w:cs="Times New Roman"/>
            <w:sz w:val="22"/>
            <w:szCs w:val="22"/>
          </w:rPr>
          <w:t>dem</w:t>
        </w:r>
        <w:proofErr w:type="spellEnd"/>
        <w:r w:rsidRPr="00DD6191">
          <w:rPr>
            <w:rStyle w:val="Hyperlink"/>
            <w:rFonts w:ascii="Times New Roman" w:hAnsi="Times New Roman" w:cs="Times New Roman"/>
            <w:sz w:val="22"/>
            <w:szCs w:val="22"/>
          </w:rPr>
          <w:t xml:space="preserve"> </w:t>
        </w:r>
        <w:proofErr w:type="spellStart"/>
        <w:r w:rsidRPr="00DD6191">
          <w:rPr>
            <w:rStyle w:val="Hyperlink"/>
            <w:rFonts w:ascii="Times New Roman" w:hAnsi="Times New Roman" w:cs="Times New Roman"/>
            <w:sz w:val="22"/>
            <w:szCs w:val="22"/>
          </w:rPr>
          <w:t>Knesebeck</w:t>
        </w:r>
        <w:proofErr w:type="spellEnd"/>
      </w:hyperlink>
      <w:r>
        <w:rPr>
          <w:rFonts w:ascii="Times New Roman" w:hAnsi="Times New Roman" w:cs="Times New Roman"/>
          <w:sz w:val="22"/>
          <w:szCs w:val="22"/>
        </w:rPr>
        <w:t xml:space="preserve"> 2019)</w:t>
      </w:r>
    </w:p>
    <w:p w14:paraId="4EFD5432" w14:textId="65EC535F" w:rsidR="00B0359E" w:rsidRPr="00B0359E" w:rsidRDefault="00B0359E" w:rsidP="00DD6191">
      <w:pPr>
        <w:spacing w:after="0" w:line="360" w:lineRule="auto"/>
        <w:ind w:left="720" w:right="720"/>
        <w:jc w:val="both"/>
        <w:rPr>
          <w:rFonts w:ascii="Times New Roman" w:hAnsi="Times New Roman" w:cs="Times New Roman"/>
          <w:b/>
          <w:bCs/>
          <w:sz w:val="22"/>
          <w:szCs w:val="22"/>
        </w:rPr>
      </w:pPr>
      <w:r w:rsidRPr="00B0359E">
        <w:rPr>
          <w:rFonts w:ascii="Times New Roman" w:hAnsi="Times New Roman" w:cs="Times New Roman"/>
          <w:b/>
          <w:bCs/>
          <w:sz w:val="22"/>
          <w:szCs w:val="22"/>
        </w:rPr>
        <w:t>Conclusion</w:t>
      </w:r>
    </w:p>
    <w:p w14:paraId="2D6EEF6B" w14:textId="71E7547B" w:rsidR="00B0359E" w:rsidRPr="00ED4488" w:rsidRDefault="00B0359E" w:rsidP="00B0359E">
      <w:pPr>
        <w:spacing w:after="0" w:line="360" w:lineRule="auto"/>
        <w:ind w:left="720" w:right="720"/>
        <w:jc w:val="both"/>
        <w:rPr>
          <w:rFonts w:ascii="Times New Roman" w:hAnsi="Times New Roman" w:cs="Times New Roman"/>
          <w:b/>
          <w:bCs/>
          <w:sz w:val="22"/>
          <w:szCs w:val="22"/>
          <w:vertAlign w:val="subscript"/>
        </w:rPr>
      </w:pPr>
      <w:r w:rsidRPr="00B0359E">
        <w:rPr>
          <w:rFonts w:ascii="Times New Roman" w:hAnsi="Times New Roman" w:cs="Times New Roman"/>
          <w:sz w:val="22"/>
          <w:szCs w:val="22"/>
        </w:rPr>
        <w:t xml:space="preserve">Community-based nutritional interventions are vital in preventing malnutrition, particularly in vulnerable populations. By focusing on education, food security, supplementation, and breastfeeding promotion, these interventions can address the root causes of malnutrition and improve health outcomes. Future research should focus on refining these interventions and exploring new strategies to reduce malnutrition </w:t>
      </w:r>
      <w:proofErr w:type="gramStart"/>
      <w:r w:rsidRPr="00B0359E">
        <w:rPr>
          <w:rFonts w:ascii="Times New Roman" w:hAnsi="Times New Roman" w:cs="Times New Roman"/>
          <w:sz w:val="22"/>
          <w:szCs w:val="22"/>
        </w:rPr>
        <w:t xml:space="preserve">globally </w:t>
      </w:r>
      <w:r w:rsidR="00F2700E">
        <w:rPr>
          <w:rFonts w:ascii="Times New Roman" w:hAnsi="Times New Roman" w:cs="Times New Roman"/>
          <w:sz w:val="22"/>
          <w:szCs w:val="22"/>
          <w:vertAlign w:val="superscript"/>
        </w:rPr>
        <w:t>.</w:t>
      </w:r>
      <w:proofErr w:type="gramEnd"/>
      <w:r w:rsidR="00F2700E" w:rsidRPr="00F2700E">
        <w:rPr>
          <w:rFonts w:ascii="Open Sans" w:hAnsi="Open Sans" w:cs="Open Sans"/>
          <w:color w:val="333333"/>
          <w:sz w:val="21"/>
          <w:shd w:val="clear" w:color="auto" w:fill="FFFFFF"/>
        </w:rPr>
        <w:t xml:space="preserve"> </w:t>
      </w:r>
      <w:r w:rsidR="00F2700E">
        <w:rPr>
          <w:rFonts w:ascii="Open Sans" w:hAnsi="Open Sans" w:cs="Open Sans"/>
          <w:color w:val="333333"/>
          <w:sz w:val="21"/>
          <w:shd w:val="clear" w:color="auto" w:fill="FFFFFF"/>
        </w:rPr>
        <w:t>(</w:t>
      </w:r>
      <w:hyperlink r:id="rId14" w:anchor="con1" w:history="1">
        <w:r w:rsidR="00F2700E" w:rsidRPr="00ED4488">
          <w:rPr>
            <w:rStyle w:val="Hyperlink"/>
            <w:rFonts w:ascii="Times New Roman" w:hAnsi="Times New Roman" w:cs="Times New Roman"/>
            <w:color w:val="auto"/>
            <w:sz w:val="32"/>
            <w:szCs w:val="32"/>
            <w:vertAlign w:val="subscript"/>
          </w:rPr>
          <w:t>Bridget Beggs</w:t>
        </w:r>
      </w:hyperlink>
      <w:r w:rsidR="00F2700E" w:rsidRPr="00ED4488">
        <w:rPr>
          <w:rFonts w:ascii="Times New Roman" w:hAnsi="Times New Roman" w:cs="Times New Roman"/>
          <w:sz w:val="32"/>
          <w:szCs w:val="32"/>
          <w:vertAlign w:val="subscript"/>
        </w:rPr>
        <w:t>, </w:t>
      </w:r>
      <w:hyperlink r:id="rId15" w:anchor="con2" w:history="1">
        <w:r w:rsidR="00F2700E" w:rsidRPr="00ED4488">
          <w:rPr>
            <w:rStyle w:val="Hyperlink"/>
            <w:rFonts w:ascii="Times New Roman" w:hAnsi="Times New Roman" w:cs="Times New Roman"/>
            <w:color w:val="auto"/>
            <w:sz w:val="32"/>
            <w:szCs w:val="32"/>
            <w:vertAlign w:val="subscript"/>
          </w:rPr>
          <w:t>Monica Bustos</w:t>
        </w:r>
      </w:hyperlink>
      <w:r w:rsidR="00F2700E" w:rsidRPr="00ED4488">
        <w:rPr>
          <w:rFonts w:ascii="Times New Roman" w:hAnsi="Times New Roman" w:cs="Times New Roman"/>
          <w:sz w:val="32"/>
          <w:szCs w:val="32"/>
          <w:vertAlign w:val="subscript"/>
        </w:rPr>
        <w:t>,</w:t>
      </w:r>
      <w:r w:rsidR="00F2700E" w:rsidRPr="00ED4488">
        <w:rPr>
          <w:rFonts w:ascii="Times New Roman" w:hAnsi="Times New Roman" w:cs="Times New Roman"/>
          <w:b/>
          <w:bCs/>
          <w:sz w:val="32"/>
          <w:szCs w:val="32"/>
          <w:vertAlign w:val="subscript"/>
        </w:rPr>
        <w:t xml:space="preserve"> 2</w:t>
      </w:r>
      <w:r w:rsidR="00F2700E" w:rsidRPr="00ED4488">
        <w:rPr>
          <w:rFonts w:ascii="Times New Roman" w:hAnsi="Times New Roman" w:cs="Times New Roman"/>
          <w:b/>
          <w:bCs/>
          <w:sz w:val="22"/>
          <w:szCs w:val="22"/>
          <w:vertAlign w:val="subscript"/>
        </w:rPr>
        <w:t>024)</w:t>
      </w:r>
    </w:p>
    <w:p w14:paraId="325FAE57" w14:textId="705AED94" w:rsidR="00D11F98" w:rsidRPr="009647FE" w:rsidRDefault="00B0359E" w:rsidP="00BE5BA8">
      <w:pPr>
        <w:spacing w:after="0" w:line="360" w:lineRule="auto"/>
        <w:ind w:left="720" w:right="720"/>
        <w:jc w:val="both"/>
        <w:rPr>
          <w:rFonts w:ascii="Times New Roman" w:hAnsi="Times New Roman" w:cs="Times New Roman"/>
          <w:b/>
          <w:bCs/>
          <w:color w:val="FF0000"/>
          <w:sz w:val="22"/>
          <w:szCs w:val="22"/>
        </w:rPr>
      </w:pPr>
      <w:r w:rsidRPr="00B0359E">
        <w:rPr>
          <w:rFonts w:ascii="Times New Roman" w:hAnsi="Times New Roman" w:cs="Times New Roman"/>
          <w:b/>
          <w:bCs/>
          <w:sz w:val="22"/>
          <w:szCs w:val="22"/>
        </w:rPr>
        <w:t>References</w:t>
      </w:r>
      <w:r w:rsidR="00D11F98">
        <w:rPr>
          <w:rFonts w:ascii="Times New Roman" w:hAnsi="Times New Roman" w:cs="Times New Roman"/>
          <w:b/>
          <w:bCs/>
          <w:sz w:val="22"/>
          <w:szCs w:val="22"/>
        </w:rPr>
        <w:t xml:space="preserve">. </w:t>
      </w:r>
    </w:p>
    <w:p w14:paraId="7B14F32D" w14:textId="77777777" w:rsidR="00D11F98" w:rsidRPr="00B0359E" w:rsidRDefault="00D11F98" w:rsidP="00B0359E">
      <w:pPr>
        <w:spacing w:after="0" w:line="360" w:lineRule="auto"/>
        <w:ind w:left="720" w:right="720"/>
        <w:jc w:val="both"/>
        <w:rPr>
          <w:rFonts w:ascii="Times New Roman" w:hAnsi="Times New Roman" w:cs="Times New Roman"/>
          <w:b/>
          <w:bCs/>
          <w:sz w:val="22"/>
          <w:szCs w:val="22"/>
        </w:rPr>
      </w:pPr>
    </w:p>
    <w:p w14:paraId="7EE54A0A" w14:textId="7AE1C6E9" w:rsidR="00B0359E" w:rsidRPr="00B0359E" w:rsidRDefault="003102D8" w:rsidP="00B0359E">
      <w:pPr>
        <w:numPr>
          <w:ilvl w:val="0"/>
          <w:numId w:val="10"/>
        </w:numPr>
        <w:spacing w:after="0" w:line="360" w:lineRule="auto"/>
        <w:ind w:right="720"/>
        <w:jc w:val="both"/>
        <w:rPr>
          <w:rFonts w:ascii="Times New Roman" w:hAnsi="Times New Roman" w:cs="Times New Roman"/>
          <w:sz w:val="22"/>
          <w:szCs w:val="22"/>
        </w:rPr>
      </w:pPr>
      <w:r w:rsidRPr="003102D8">
        <w:rPr>
          <w:rFonts w:ascii="Times New Roman" w:hAnsi="Times New Roman" w:cs="Times New Roman"/>
          <w:sz w:val="22"/>
          <w:szCs w:val="22"/>
        </w:rPr>
        <w:t xml:space="preserve">Roy SK, Jolly SP, Shafique S, Fuchs GJ, Mahmud Z, Chakraborty B, Roy S. Prevention of malnutrition among young children in rural Bangladesh by a food-health-care educational intervention: a randomized, controlled trial. Food </w:t>
      </w:r>
      <w:proofErr w:type="spellStart"/>
      <w:r w:rsidRPr="003102D8">
        <w:rPr>
          <w:rFonts w:ascii="Times New Roman" w:hAnsi="Times New Roman" w:cs="Times New Roman"/>
          <w:sz w:val="22"/>
          <w:szCs w:val="22"/>
        </w:rPr>
        <w:t>Nutr</w:t>
      </w:r>
      <w:proofErr w:type="spellEnd"/>
      <w:r w:rsidRPr="003102D8">
        <w:rPr>
          <w:rFonts w:ascii="Times New Roman" w:hAnsi="Times New Roman" w:cs="Times New Roman"/>
          <w:sz w:val="22"/>
          <w:szCs w:val="22"/>
        </w:rPr>
        <w:t xml:space="preserve"> Bull. 2007 Dec;28(4):375-83. </w:t>
      </w:r>
      <w:proofErr w:type="spellStart"/>
      <w:r w:rsidRPr="003102D8">
        <w:rPr>
          <w:rFonts w:ascii="Times New Roman" w:hAnsi="Times New Roman" w:cs="Times New Roman"/>
          <w:sz w:val="22"/>
          <w:szCs w:val="22"/>
        </w:rPr>
        <w:t>doi</w:t>
      </w:r>
      <w:proofErr w:type="spellEnd"/>
      <w:r w:rsidRPr="003102D8">
        <w:rPr>
          <w:rFonts w:ascii="Times New Roman" w:hAnsi="Times New Roman" w:cs="Times New Roman"/>
          <w:sz w:val="22"/>
          <w:szCs w:val="22"/>
        </w:rPr>
        <w:t>: 10.1177/156482650702800401. PMID: 18274163.</w:t>
      </w:r>
      <w:r w:rsidR="00B0359E" w:rsidRPr="00B0359E">
        <w:rPr>
          <w:rFonts w:ascii="Times New Roman" w:hAnsi="Times New Roman" w:cs="Times New Roman"/>
          <w:sz w:val="22"/>
          <w:szCs w:val="22"/>
        </w:rPr>
        <w:t xml:space="preserve">Chavez, P. M., &amp; Torres, A. L. (2020). Food security programs and their role in reducing malnutrition: A community-based perspective. </w:t>
      </w:r>
      <w:proofErr w:type="spellStart"/>
      <w:r w:rsidR="00B0359E" w:rsidRPr="00B0359E">
        <w:rPr>
          <w:rFonts w:ascii="Times New Roman" w:hAnsi="Times New Roman" w:cs="Times New Roman"/>
          <w:i/>
          <w:iCs/>
          <w:sz w:val="22"/>
          <w:szCs w:val="22"/>
        </w:rPr>
        <w:t>Nutr</w:t>
      </w:r>
      <w:proofErr w:type="spellEnd"/>
      <w:r w:rsidR="00B0359E" w:rsidRPr="00B0359E">
        <w:rPr>
          <w:rFonts w:ascii="Times New Roman" w:hAnsi="Times New Roman" w:cs="Times New Roman"/>
          <w:i/>
          <w:iCs/>
          <w:sz w:val="22"/>
          <w:szCs w:val="22"/>
        </w:rPr>
        <w:t xml:space="preserve"> Rev</w:t>
      </w:r>
      <w:r w:rsidR="00B0359E" w:rsidRPr="00B0359E">
        <w:rPr>
          <w:rFonts w:ascii="Times New Roman" w:hAnsi="Times New Roman" w:cs="Times New Roman"/>
          <w:sz w:val="22"/>
          <w:szCs w:val="22"/>
        </w:rPr>
        <w:t>. 78(4), 303-315.</w:t>
      </w:r>
    </w:p>
    <w:p w14:paraId="356746E7" w14:textId="2763472E" w:rsidR="00B0359E" w:rsidRPr="00B0359E" w:rsidRDefault="003102D8" w:rsidP="00B0359E">
      <w:pPr>
        <w:numPr>
          <w:ilvl w:val="0"/>
          <w:numId w:val="10"/>
        </w:numPr>
        <w:spacing w:after="0" w:line="360" w:lineRule="auto"/>
        <w:ind w:right="720"/>
        <w:jc w:val="both"/>
        <w:rPr>
          <w:rFonts w:ascii="Times New Roman" w:hAnsi="Times New Roman" w:cs="Times New Roman"/>
          <w:sz w:val="22"/>
          <w:szCs w:val="22"/>
        </w:rPr>
      </w:pPr>
      <w:r w:rsidRPr="003102D8">
        <w:rPr>
          <w:rFonts w:ascii="Times New Roman" w:hAnsi="Times New Roman" w:cs="Times New Roman"/>
          <w:sz w:val="22"/>
          <w:szCs w:val="22"/>
        </w:rPr>
        <w:t xml:space="preserve">Tam E, Keats EC, Rind F, Das JK, Bhutta AZA. Micronutrient Supplementation and Fortification Interventions on Health and Development Outcomes among Children Under-Five in Low- and Middle-Income Countries: A Systematic Review and Meta-Analysis. Nutrients. 2020 Jan 21;12(2):289. </w:t>
      </w:r>
      <w:proofErr w:type="spellStart"/>
      <w:r w:rsidRPr="003102D8">
        <w:rPr>
          <w:rFonts w:ascii="Times New Roman" w:hAnsi="Times New Roman" w:cs="Times New Roman"/>
          <w:sz w:val="22"/>
          <w:szCs w:val="22"/>
        </w:rPr>
        <w:t>doi</w:t>
      </w:r>
      <w:proofErr w:type="spellEnd"/>
      <w:r w:rsidRPr="003102D8">
        <w:rPr>
          <w:rFonts w:ascii="Times New Roman" w:hAnsi="Times New Roman" w:cs="Times New Roman"/>
          <w:sz w:val="22"/>
          <w:szCs w:val="22"/>
        </w:rPr>
        <w:t>: 10.3390/nu12020289. PMID: 31973225; PMCID: PMC7071447.</w:t>
      </w:r>
      <w:r w:rsidR="00B0359E" w:rsidRPr="00B0359E">
        <w:rPr>
          <w:rFonts w:ascii="Times New Roman" w:hAnsi="Times New Roman" w:cs="Times New Roman"/>
          <w:sz w:val="22"/>
          <w:szCs w:val="22"/>
        </w:rPr>
        <w:t xml:space="preserve">Patel, V., &amp; Desai, M. (2021). Community-driven food security initiatives and their impact on reducing child malnutrition in rural India. </w:t>
      </w:r>
      <w:r w:rsidR="00B0359E" w:rsidRPr="00B0359E">
        <w:rPr>
          <w:rFonts w:ascii="Times New Roman" w:hAnsi="Times New Roman" w:cs="Times New Roman"/>
          <w:i/>
          <w:iCs/>
          <w:sz w:val="22"/>
          <w:szCs w:val="22"/>
        </w:rPr>
        <w:t>Public Health Nutrition</w:t>
      </w:r>
      <w:r w:rsidR="00B0359E" w:rsidRPr="00B0359E">
        <w:rPr>
          <w:rFonts w:ascii="Times New Roman" w:hAnsi="Times New Roman" w:cs="Times New Roman"/>
          <w:sz w:val="22"/>
          <w:szCs w:val="22"/>
        </w:rPr>
        <w:t>. 24(3), 219-227.</w:t>
      </w:r>
    </w:p>
    <w:p w14:paraId="6B9FCEA0" w14:textId="4107F4AF" w:rsidR="00B0359E" w:rsidRPr="00B0359E" w:rsidRDefault="003102D8" w:rsidP="00B0359E">
      <w:pPr>
        <w:numPr>
          <w:ilvl w:val="0"/>
          <w:numId w:val="10"/>
        </w:numPr>
        <w:spacing w:after="0" w:line="360" w:lineRule="auto"/>
        <w:ind w:right="720"/>
        <w:jc w:val="both"/>
        <w:rPr>
          <w:rFonts w:ascii="Times New Roman" w:hAnsi="Times New Roman" w:cs="Times New Roman"/>
          <w:sz w:val="22"/>
          <w:szCs w:val="22"/>
        </w:rPr>
      </w:pPr>
      <w:r w:rsidRPr="003102D8">
        <w:rPr>
          <w:rFonts w:ascii="Times New Roman" w:hAnsi="Times New Roman" w:cs="Times New Roman"/>
          <w:sz w:val="22"/>
          <w:szCs w:val="22"/>
        </w:rPr>
        <w:t>Carretero-Krug A, Montero-Bravo A, Morais-Moreno C, Puga AM, Samaniego-</w:t>
      </w:r>
      <w:proofErr w:type="spellStart"/>
      <w:r w:rsidRPr="003102D8">
        <w:rPr>
          <w:rFonts w:ascii="Times New Roman" w:hAnsi="Times New Roman" w:cs="Times New Roman"/>
          <w:sz w:val="22"/>
          <w:szCs w:val="22"/>
        </w:rPr>
        <w:t>Vaesken</w:t>
      </w:r>
      <w:proofErr w:type="spellEnd"/>
      <w:r w:rsidRPr="003102D8">
        <w:rPr>
          <w:rFonts w:ascii="Times New Roman" w:hAnsi="Times New Roman" w:cs="Times New Roman"/>
          <w:sz w:val="22"/>
          <w:szCs w:val="22"/>
        </w:rPr>
        <w:t xml:space="preserve"> ML, </w:t>
      </w:r>
      <w:r w:rsidR="00BE5BA8" w:rsidRPr="003102D8">
        <w:rPr>
          <w:rFonts w:ascii="Times New Roman" w:hAnsi="Times New Roman" w:cs="Times New Roman"/>
          <w:sz w:val="22"/>
          <w:szCs w:val="22"/>
        </w:rPr>
        <w:t>Part arroyo</w:t>
      </w:r>
      <w:r w:rsidRPr="003102D8">
        <w:rPr>
          <w:rFonts w:ascii="Times New Roman" w:hAnsi="Times New Roman" w:cs="Times New Roman"/>
          <w:sz w:val="22"/>
          <w:szCs w:val="22"/>
        </w:rPr>
        <w:t xml:space="preserve"> T, Varela-</w:t>
      </w:r>
      <w:r w:rsidR="00BE5BA8" w:rsidRPr="003102D8">
        <w:rPr>
          <w:rFonts w:ascii="Times New Roman" w:hAnsi="Times New Roman" w:cs="Times New Roman"/>
          <w:sz w:val="22"/>
          <w:szCs w:val="22"/>
        </w:rPr>
        <w:t>Moreira’s</w:t>
      </w:r>
      <w:r w:rsidRPr="003102D8">
        <w:rPr>
          <w:rFonts w:ascii="Times New Roman" w:hAnsi="Times New Roman" w:cs="Times New Roman"/>
          <w:sz w:val="22"/>
          <w:szCs w:val="22"/>
        </w:rPr>
        <w:t xml:space="preserve"> G. Nutritional Status of Breastfeeding Mothers and Impact of Diet and Dietary Supplementation: A Narrative Review. Nutrients. 2024 Jan 19;16(2):301. </w:t>
      </w:r>
      <w:proofErr w:type="spellStart"/>
      <w:r w:rsidRPr="003102D8">
        <w:rPr>
          <w:rFonts w:ascii="Times New Roman" w:hAnsi="Times New Roman" w:cs="Times New Roman"/>
          <w:sz w:val="22"/>
          <w:szCs w:val="22"/>
        </w:rPr>
        <w:t>doi</w:t>
      </w:r>
      <w:proofErr w:type="spellEnd"/>
      <w:r w:rsidRPr="003102D8">
        <w:rPr>
          <w:rFonts w:ascii="Times New Roman" w:hAnsi="Times New Roman" w:cs="Times New Roman"/>
          <w:sz w:val="22"/>
          <w:szCs w:val="22"/>
        </w:rPr>
        <w:t>: 10.3390/nu16020301. PMID: 38276540; PMCID: PMC10818638.</w:t>
      </w:r>
      <w:r w:rsidR="00B0359E" w:rsidRPr="00B0359E">
        <w:rPr>
          <w:rFonts w:ascii="Times New Roman" w:hAnsi="Times New Roman" w:cs="Times New Roman"/>
          <w:sz w:val="22"/>
          <w:szCs w:val="22"/>
        </w:rPr>
        <w:t xml:space="preserve">Clark, S. A., &amp; Lee, K. H. (2024). </w:t>
      </w:r>
      <w:r w:rsidR="00B0359E" w:rsidRPr="00B0359E">
        <w:rPr>
          <w:rFonts w:ascii="Times New Roman" w:hAnsi="Times New Roman" w:cs="Times New Roman"/>
          <w:sz w:val="22"/>
          <w:szCs w:val="22"/>
        </w:rPr>
        <w:lastRenderedPageBreak/>
        <w:t xml:space="preserve">Food fortification in low-income settings: A review of global interventions and effectiveness. </w:t>
      </w:r>
      <w:r w:rsidR="00B0359E" w:rsidRPr="00B0359E">
        <w:rPr>
          <w:rFonts w:ascii="Times New Roman" w:hAnsi="Times New Roman" w:cs="Times New Roman"/>
          <w:i/>
          <w:iCs/>
          <w:sz w:val="22"/>
          <w:szCs w:val="22"/>
        </w:rPr>
        <w:t>J Food Sci</w:t>
      </w:r>
      <w:r w:rsidR="00B0359E" w:rsidRPr="00B0359E">
        <w:rPr>
          <w:rFonts w:ascii="Times New Roman" w:hAnsi="Times New Roman" w:cs="Times New Roman"/>
          <w:sz w:val="22"/>
          <w:szCs w:val="22"/>
        </w:rPr>
        <w:t>. 85(12), 453-460.</w:t>
      </w:r>
    </w:p>
    <w:p w14:paraId="7C99CFF0" w14:textId="6B26B8DD" w:rsidR="00084EA2" w:rsidRPr="00EF6697" w:rsidRDefault="00084EA2" w:rsidP="00EF6697">
      <w:pPr>
        <w:pStyle w:val="ListParagraph"/>
        <w:numPr>
          <w:ilvl w:val="0"/>
          <w:numId w:val="10"/>
        </w:numPr>
        <w:shd w:val="clear" w:color="auto" w:fill="FFFFFF"/>
        <w:spacing w:after="150" w:line="360" w:lineRule="auto"/>
        <w:rPr>
          <w:rFonts w:ascii="Times New Roman" w:eastAsia="Times New Roman" w:hAnsi="Times New Roman" w:cs="Times New Roman"/>
          <w:kern w:val="0"/>
          <w:szCs w:val="24"/>
          <w:lang w:eastAsia="en-IN" w:bidi="ar-SA"/>
          <w14:ligatures w14:val="none"/>
        </w:rPr>
      </w:pPr>
      <w:r w:rsidRPr="00EF6697">
        <w:rPr>
          <w:rFonts w:ascii="Times New Roman" w:eastAsia="Times New Roman" w:hAnsi="Times New Roman" w:cs="Times New Roman"/>
          <w:kern w:val="0"/>
          <w:szCs w:val="24"/>
          <w:lang w:eastAsia="en-IN" w:bidi="ar-SA"/>
          <w14:ligatures w14:val="none"/>
        </w:rPr>
        <w:t>Mahmudi no</w:t>
      </w:r>
      <w:r w:rsidRPr="00EF6697">
        <w:rPr>
          <w:rFonts w:ascii="Times New Roman" w:eastAsia="Times New Roman" w:hAnsi="Times New Roman" w:cs="Times New Roman"/>
          <w:kern w:val="0"/>
          <w:szCs w:val="24"/>
          <w:lang w:eastAsia="en-IN" w:bidi="ar-SA"/>
          <w14:ligatures w14:val="none"/>
        </w:rPr>
        <w:t xml:space="preserve">, T.; Mamun, A.A.; </w:t>
      </w:r>
      <w:r w:rsidR="00EF6697" w:rsidRPr="00EF6697">
        <w:rPr>
          <w:rFonts w:ascii="Times New Roman" w:eastAsia="Times New Roman" w:hAnsi="Times New Roman" w:cs="Times New Roman"/>
          <w:kern w:val="0"/>
          <w:szCs w:val="24"/>
          <w:lang w:eastAsia="en-IN" w:bidi="ar-SA"/>
          <w14:ligatures w14:val="none"/>
        </w:rPr>
        <w:t>Nidya</w:t>
      </w:r>
      <w:r w:rsidRPr="00EF6697">
        <w:rPr>
          <w:rFonts w:ascii="Times New Roman" w:eastAsia="Times New Roman" w:hAnsi="Times New Roman" w:cs="Times New Roman"/>
          <w:kern w:val="0"/>
          <w:szCs w:val="24"/>
          <w:lang w:eastAsia="en-IN" w:bidi="ar-SA"/>
          <w14:ligatures w14:val="none"/>
        </w:rPr>
        <w:t xml:space="preserve">, T.S.; Andrias, D.R.; </w:t>
      </w:r>
      <w:r w:rsidR="00EF6697" w:rsidRPr="00EF6697">
        <w:rPr>
          <w:rFonts w:ascii="Times New Roman" w:eastAsia="Times New Roman" w:hAnsi="Times New Roman" w:cs="Times New Roman"/>
          <w:kern w:val="0"/>
          <w:szCs w:val="24"/>
          <w:lang w:eastAsia="en-IN" w:bidi="ar-SA"/>
          <w14:ligatures w14:val="none"/>
        </w:rPr>
        <w:t>Megastar</w:t>
      </w:r>
      <w:r w:rsidRPr="00EF6697">
        <w:rPr>
          <w:rFonts w:ascii="Times New Roman" w:eastAsia="Times New Roman" w:hAnsi="Times New Roman" w:cs="Times New Roman"/>
          <w:kern w:val="0"/>
          <w:szCs w:val="24"/>
          <w:lang w:eastAsia="en-IN" w:bidi="ar-SA"/>
          <w14:ligatures w14:val="none"/>
        </w:rPr>
        <w:t>, H.; Rosenkranz, R.R. The Effectiveness of Nutrition Education for Overweight/Obese Mother with Stunted Children (NEO-MOM) in Reducing the Double Burden of Malnutrition. </w:t>
      </w:r>
      <w:r w:rsidRPr="00EF6697">
        <w:rPr>
          <w:rFonts w:ascii="Times New Roman" w:eastAsia="Times New Roman" w:hAnsi="Times New Roman" w:cs="Times New Roman"/>
          <w:i/>
          <w:iCs/>
          <w:kern w:val="0"/>
          <w:szCs w:val="24"/>
          <w:lang w:eastAsia="en-IN" w:bidi="ar-SA"/>
          <w14:ligatures w14:val="none"/>
        </w:rPr>
        <w:t>Nutrients</w:t>
      </w:r>
      <w:r w:rsidRPr="00EF6697">
        <w:rPr>
          <w:rFonts w:ascii="Times New Roman" w:eastAsia="Times New Roman" w:hAnsi="Times New Roman" w:cs="Times New Roman"/>
          <w:kern w:val="0"/>
          <w:szCs w:val="24"/>
          <w:lang w:eastAsia="en-IN" w:bidi="ar-SA"/>
          <w14:ligatures w14:val="none"/>
        </w:rPr>
        <w:t> </w:t>
      </w:r>
      <w:r w:rsidRPr="00EF6697">
        <w:rPr>
          <w:rFonts w:ascii="Times New Roman" w:eastAsia="Times New Roman" w:hAnsi="Times New Roman" w:cs="Times New Roman"/>
          <w:b/>
          <w:bCs/>
          <w:kern w:val="0"/>
          <w:szCs w:val="24"/>
          <w:lang w:eastAsia="en-IN" w:bidi="ar-SA"/>
          <w14:ligatures w14:val="none"/>
        </w:rPr>
        <w:t>2018</w:t>
      </w:r>
      <w:r w:rsidRPr="00EF6697">
        <w:rPr>
          <w:rFonts w:ascii="Times New Roman" w:eastAsia="Times New Roman" w:hAnsi="Times New Roman" w:cs="Times New Roman"/>
          <w:kern w:val="0"/>
          <w:szCs w:val="24"/>
          <w:lang w:eastAsia="en-IN" w:bidi="ar-SA"/>
          <w14:ligatures w14:val="none"/>
        </w:rPr>
        <w:t>, </w:t>
      </w:r>
      <w:r w:rsidRPr="00EF6697">
        <w:rPr>
          <w:rFonts w:ascii="Times New Roman" w:eastAsia="Times New Roman" w:hAnsi="Times New Roman" w:cs="Times New Roman"/>
          <w:i/>
          <w:iCs/>
          <w:kern w:val="0"/>
          <w:szCs w:val="24"/>
          <w:lang w:eastAsia="en-IN" w:bidi="ar-SA"/>
          <w14:ligatures w14:val="none"/>
        </w:rPr>
        <w:t>10</w:t>
      </w:r>
      <w:r w:rsidRPr="00EF6697">
        <w:rPr>
          <w:rFonts w:ascii="Times New Roman" w:eastAsia="Times New Roman" w:hAnsi="Times New Roman" w:cs="Times New Roman"/>
          <w:kern w:val="0"/>
          <w:szCs w:val="24"/>
          <w:lang w:eastAsia="en-IN" w:bidi="ar-SA"/>
          <w14:ligatures w14:val="none"/>
        </w:rPr>
        <w:t>, 1910. https://doi.org/10.3390/nu10121910</w:t>
      </w:r>
    </w:p>
    <w:p w14:paraId="1643A490" w14:textId="60292235" w:rsidR="00656147" w:rsidRPr="00EF6697" w:rsidRDefault="00656147" w:rsidP="00EF6697">
      <w:pPr>
        <w:pStyle w:val="NormalWeb"/>
        <w:shd w:val="clear" w:color="auto" w:fill="FFFFFF"/>
        <w:spacing w:before="0" w:beforeAutospacing="0" w:after="0" w:afterAutospacing="0" w:line="360" w:lineRule="auto"/>
        <w:ind w:left="709"/>
      </w:pPr>
      <w:r w:rsidRPr="00EF6697">
        <w:t>5.</w:t>
      </w:r>
      <w:hyperlink r:id="rId16" w:tooltip="Om Raj Katoch" w:history="1">
        <w:r w:rsidRPr="00EF6697">
          <w:rPr>
            <w:rStyle w:val="Hyperlink"/>
            <w:rFonts w:eastAsiaTheme="majorEastAsia"/>
            <w:color w:val="auto"/>
            <w:u w:val="none"/>
          </w:rPr>
          <w:t>Katoch, O.R.</w:t>
        </w:r>
      </w:hyperlink>
      <w:r w:rsidRPr="00EF6697">
        <w:t> (2024), "Tackling child malnutrition and food security: assessing progress, challenges, and policies in achieving SDG 2 in India", </w:t>
      </w:r>
      <w:hyperlink r:id="rId17" w:history="1">
        <w:r w:rsidRPr="00EF6697">
          <w:rPr>
            <w:rStyle w:val="Hyperlink"/>
            <w:rFonts w:eastAsiaTheme="majorEastAsia"/>
            <w:i/>
            <w:iCs/>
            <w:color w:val="auto"/>
            <w:u w:val="none"/>
          </w:rPr>
          <w:t>Nutrition &amp; Food Science</w:t>
        </w:r>
      </w:hyperlink>
      <w:r w:rsidRPr="00EF6697">
        <w:t>, Vol. 54 No. 2, pp. 349-365. </w:t>
      </w:r>
      <w:hyperlink r:id="rId18" w:tooltip="DOI: https://doi.org/10.1108/NFS-03-2023-0055" w:history="1">
        <w:r w:rsidRPr="00EF6697">
          <w:rPr>
            <w:rStyle w:val="Hyperlink"/>
            <w:rFonts w:eastAsiaTheme="majorEastAsia"/>
            <w:color w:val="auto"/>
            <w:u w:val="none"/>
          </w:rPr>
          <w:t>https://doi.org/10.1108/NFS-03-2023-0055</w:t>
        </w:r>
      </w:hyperlink>
    </w:p>
    <w:p w14:paraId="36C23477" w14:textId="6F5C0A62" w:rsidR="00B0359E" w:rsidRPr="00EF6697" w:rsidRDefault="00B0359E" w:rsidP="00656147">
      <w:pPr>
        <w:spacing w:after="0" w:line="360" w:lineRule="auto"/>
        <w:ind w:left="360" w:right="720"/>
        <w:jc w:val="both"/>
        <w:rPr>
          <w:rFonts w:ascii="Times New Roman" w:hAnsi="Times New Roman" w:cs="Times New Roman"/>
          <w:szCs w:val="24"/>
        </w:rPr>
      </w:pPr>
    </w:p>
    <w:p w14:paraId="50EC54CB" w14:textId="240B70C0" w:rsidR="00BF267E" w:rsidRPr="00EF6697" w:rsidRDefault="00656147" w:rsidP="00656147">
      <w:pPr>
        <w:spacing w:after="0" w:line="360" w:lineRule="auto"/>
        <w:ind w:left="720" w:right="720"/>
        <w:jc w:val="both"/>
        <w:rPr>
          <w:rFonts w:ascii="Times New Roman" w:hAnsi="Times New Roman" w:cs="Times New Roman"/>
          <w:szCs w:val="24"/>
        </w:rPr>
      </w:pPr>
      <w:r w:rsidRPr="00EF6697">
        <w:rPr>
          <w:rFonts w:ascii="Times New Roman" w:hAnsi="Times New Roman" w:cs="Times New Roman"/>
          <w:szCs w:val="24"/>
        </w:rPr>
        <w:t>6.</w:t>
      </w:r>
      <w:r w:rsidR="00BF267E" w:rsidRPr="00EF6697">
        <w:rPr>
          <w:rFonts w:ascii="Times New Roman" w:hAnsi="Times New Roman" w:cs="Times New Roman"/>
          <w:szCs w:val="24"/>
        </w:rPr>
        <w:t xml:space="preserve">Dr. Amrapali Gajbhiye, Dr. Pravin Gholap, &amp; Ms. Bincy K.P. (2024). Community-Led Approach </w:t>
      </w:r>
      <w:proofErr w:type="gramStart"/>
      <w:r w:rsidR="00BF267E" w:rsidRPr="00EF6697">
        <w:rPr>
          <w:rFonts w:ascii="Times New Roman" w:hAnsi="Times New Roman" w:cs="Times New Roman"/>
          <w:szCs w:val="24"/>
        </w:rPr>
        <w:t>To</w:t>
      </w:r>
      <w:proofErr w:type="gramEnd"/>
      <w:r w:rsidR="00BF267E" w:rsidRPr="00EF6697">
        <w:rPr>
          <w:rFonts w:ascii="Times New Roman" w:hAnsi="Times New Roman" w:cs="Times New Roman"/>
          <w:szCs w:val="24"/>
        </w:rPr>
        <w:t xml:space="preserve"> Combat Malnutrition Among Children (0-5 Years) In India: A Systematic Review Of Interventions And Impact. </w:t>
      </w:r>
      <w:r w:rsidR="00BF267E" w:rsidRPr="00EF6697">
        <w:rPr>
          <w:rFonts w:ascii="Times New Roman" w:hAnsi="Times New Roman" w:cs="Times New Roman"/>
          <w:i/>
          <w:iCs/>
          <w:szCs w:val="24"/>
        </w:rPr>
        <w:t>Educational Administration: Theory and Practice</w:t>
      </w:r>
      <w:r w:rsidR="00BF267E" w:rsidRPr="00EF6697">
        <w:rPr>
          <w:rFonts w:ascii="Times New Roman" w:hAnsi="Times New Roman" w:cs="Times New Roman"/>
          <w:szCs w:val="24"/>
        </w:rPr>
        <w:t>, </w:t>
      </w:r>
      <w:r w:rsidR="00BF267E" w:rsidRPr="00EF6697">
        <w:rPr>
          <w:rFonts w:ascii="Times New Roman" w:hAnsi="Times New Roman" w:cs="Times New Roman"/>
          <w:i/>
          <w:iCs/>
          <w:szCs w:val="24"/>
        </w:rPr>
        <w:t>30</w:t>
      </w:r>
      <w:r w:rsidR="00BF267E" w:rsidRPr="00EF6697">
        <w:rPr>
          <w:rFonts w:ascii="Times New Roman" w:hAnsi="Times New Roman" w:cs="Times New Roman"/>
          <w:szCs w:val="24"/>
        </w:rPr>
        <w:t xml:space="preserve">(6), 1072–1080. </w:t>
      </w:r>
      <w:hyperlink r:id="rId19" w:history="1">
        <w:r w:rsidR="007550E3" w:rsidRPr="00EF6697">
          <w:rPr>
            <w:rStyle w:val="Hyperlink"/>
            <w:rFonts w:ascii="Times New Roman" w:hAnsi="Times New Roman" w:cs="Times New Roman"/>
            <w:color w:val="auto"/>
            <w:szCs w:val="24"/>
            <w:u w:val="none"/>
          </w:rPr>
          <w:t>https://doi.org/10.53555/kuey.v30i6.5437</w:t>
        </w:r>
      </w:hyperlink>
    </w:p>
    <w:p w14:paraId="54DB4A61" w14:textId="3C064299" w:rsidR="00EF6697" w:rsidRPr="00EF6697" w:rsidRDefault="00EF6697" w:rsidP="00656147">
      <w:pPr>
        <w:spacing w:after="0" w:line="360" w:lineRule="auto"/>
        <w:ind w:left="720" w:right="720"/>
        <w:jc w:val="both"/>
        <w:rPr>
          <w:rFonts w:ascii="Times New Roman" w:hAnsi="Times New Roman" w:cs="Times New Roman"/>
          <w:szCs w:val="24"/>
        </w:rPr>
      </w:pPr>
      <w:r w:rsidRPr="00EF6697">
        <w:rPr>
          <w:rFonts w:ascii="Times New Roman" w:hAnsi="Times New Roman" w:cs="Times New Roman"/>
          <w:szCs w:val="24"/>
        </w:rPr>
        <w:t>7.</w:t>
      </w:r>
      <w:r w:rsidRPr="00EF6697">
        <w:rPr>
          <w:rFonts w:ascii="Times New Roman" w:hAnsi="Times New Roman" w:cs="Times New Roman"/>
          <w:szCs w:val="24"/>
        </w:rPr>
        <w:t>Tette, E.M.A., Sifah, E.K. &amp; Nartey, E.T. Factors affecting malnutrition in children and the uptake of interventions to prevent the condition. </w:t>
      </w:r>
      <w:r w:rsidRPr="00EF6697">
        <w:rPr>
          <w:rFonts w:ascii="Times New Roman" w:hAnsi="Times New Roman" w:cs="Times New Roman"/>
          <w:i/>
          <w:iCs/>
          <w:szCs w:val="24"/>
        </w:rPr>
        <w:t xml:space="preserve">BMC </w:t>
      </w:r>
      <w:proofErr w:type="spellStart"/>
      <w:r w:rsidRPr="00EF6697">
        <w:rPr>
          <w:rFonts w:ascii="Times New Roman" w:hAnsi="Times New Roman" w:cs="Times New Roman"/>
          <w:i/>
          <w:iCs/>
          <w:szCs w:val="24"/>
        </w:rPr>
        <w:t>Pediatr</w:t>
      </w:r>
      <w:proofErr w:type="spellEnd"/>
      <w:r w:rsidRPr="00EF6697">
        <w:rPr>
          <w:rFonts w:ascii="Times New Roman" w:hAnsi="Times New Roman" w:cs="Times New Roman"/>
          <w:szCs w:val="24"/>
        </w:rPr>
        <w:t> </w:t>
      </w:r>
      <w:r w:rsidRPr="00EF6697">
        <w:rPr>
          <w:rFonts w:ascii="Times New Roman" w:hAnsi="Times New Roman" w:cs="Times New Roman"/>
          <w:b/>
          <w:bCs/>
          <w:szCs w:val="24"/>
        </w:rPr>
        <w:t>15</w:t>
      </w:r>
      <w:r w:rsidRPr="00EF6697">
        <w:rPr>
          <w:rFonts w:ascii="Times New Roman" w:hAnsi="Times New Roman" w:cs="Times New Roman"/>
          <w:szCs w:val="24"/>
        </w:rPr>
        <w:t>, 189 (2015). https://doi.org/10.1186/s12887-015-0496-3</w:t>
      </w:r>
    </w:p>
    <w:p w14:paraId="40E5E00B" w14:textId="51D533B1" w:rsidR="007550E3" w:rsidRPr="00EF6697" w:rsidRDefault="00EF6697" w:rsidP="00656147">
      <w:pPr>
        <w:spacing w:after="0" w:line="360" w:lineRule="auto"/>
        <w:ind w:left="720" w:right="720"/>
        <w:jc w:val="both"/>
        <w:rPr>
          <w:rFonts w:ascii="Times New Roman" w:hAnsi="Times New Roman" w:cs="Times New Roman"/>
          <w:szCs w:val="24"/>
        </w:rPr>
      </w:pPr>
      <w:r>
        <w:rPr>
          <w:rFonts w:ascii="Times New Roman" w:hAnsi="Times New Roman" w:cs="Times New Roman"/>
          <w:szCs w:val="24"/>
        </w:rPr>
        <w:t>8</w:t>
      </w:r>
      <w:r w:rsidR="007550E3" w:rsidRPr="00EF6697">
        <w:rPr>
          <w:rFonts w:ascii="Times New Roman" w:hAnsi="Times New Roman" w:cs="Times New Roman"/>
          <w:szCs w:val="24"/>
        </w:rPr>
        <w:t>.</w:t>
      </w:r>
      <w:r w:rsidR="007550E3" w:rsidRPr="00EF6697">
        <w:rPr>
          <w:rFonts w:ascii="Times New Roman" w:hAnsi="Times New Roman" w:cs="Times New Roman"/>
          <w:szCs w:val="24"/>
        </w:rPr>
        <w:t>Filteau SM. Role of breast-feeding in managing malnutrition and infectious disease. </w:t>
      </w:r>
      <w:r w:rsidR="007550E3" w:rsidRPr="00EF6697">
        <w:rPr>
          <w:rFonts w:ascii="Times New Roman" w:hAnsi="Times New Roman" w:cs="Times New Roman"/>
          <w:i/>
          <w:iCs/>
          <w:szCs w:val="24"/>
        </w:rPr>
        <w:t>Proceedings of the Nutrition Society</w:t>
      </w:r>
      <w:r w:rsidR="007550E3" w:rsidRPr="00EF6697">
        <w:rPr>
          <w:rFonts w:ascii="Times New Roman" w:hAnsi="Times New Roman" w:cs="Times New Roman"/>
          <w:szCs w:val="24"/>
        </w:rPr>
        <w:t>. 2000;59(4):565-572. doi:10.1017/S002966510000080X</w:t>
      </w:r>
    </w:p>
    <w:p w14:paraId="0C6ED5FA" w14:textId="20B08B5E" w:rsidR="00057079" w:rsidRPr="00EF6697" w:rsidRDefault="00057079" w:rsidP="00B0359E">
      <w:pPr>
        <w:spacing w:after="0" w:line="360" w:lineRule="auto"/>
        <w:ind w:left="720" w:right="720"/>
        <w:jc w:val="both"/>
        <w:rPr>
          <w:rFonts w:ascii="Times New Roman" w:hAnsi="Times New Roman" w:cs="Times New Roman"/>
          <w:szCs w:val="24"/>
        </w:rPr>
      </w:pPr>
    </w:p>
    <w:sectPr w:rsidR="00057079" w:rsidRPr="00EF6697" w:rsidSect="00D11F98">
      <w:headerReference w:type="default" r:id="rId20"/>
      <w:pgSz w:w="11906" w:h="16838"/>
      <w:pgMar w:top="3600" w:right="720" w:bottom="720" w:left="720" w:header="340"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7973D2" w14:textId="77777777" w:rsidR="0090004A" w:rsidRDefault="0090004A" w:rsidP="001D332D">
      <w:pPr>
        <w:spacing w:after="0" w:line="240" w:lineRule="auto"/>
      </w:pPr>
      <w:r>
        <w:separator/>
      </w:r>
    </w:p>
  </w:endnote>
  <w:endnote w:type="continuationSeparator" w:id="0">
    <w:p w14:paraId="0024297A" w14:textId="77777777" w:rsidR="0090004A" w:rsidRDefault="0090004A" w:rsidP="001D33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Noto Sans">
    <w:charset w:val="00"/>
    <w:family w:val="swiss"/>
    <w:pitch w:val="variable"/>
    <w:sig w:usb0="E00082FF" w:usb1="400078FF" w:usb2="00000021" w:usb3="00000000" w:csb0="0000019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B8476" w14:textId="77777777" w:rsidR="0090004A" w:rsidRDefault="0090004A" w:rsidP="001D332D">
      <w:pPr>
        <w:spacing w:after="0" w:line="240" w:lineRule="auto"/>
      </w:pPr>
      <w:r>
        <w:separator/>
      </w:r>
    </w:p>
  </w:footnote>
  <w:footnote w:type="continuationSeparator" w:id="0">
    <w:p w14:paraId="2E2510EE" w14:textId="77777777" w:rsidR="0090004A" w:rsidRDefault="0090004A" w:rsidP="001D33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8144292"/>
      <w:docPartObj>
        <w:docPartGallery w:val="Watermarks"/>
        <w:docPartUnique/>
      </w:docPartObj>
    </w:sdtPr>
    <w:sdtContent>
      <w:p w14:paraId="09BC0B69" w14:textId="778C01ED" w:rsidR="001D332D" w:rsidRDefault="00000000">
        <w:pPr>
          <w:pStyle w:val="Header"/>
        </w:pPr>
        <w:r>
          <w:rPr>
            <w:noProof/>
          </w:rPr>
          <w:pict w14:anchorId="1E94816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7194220" o:spid="_x0000_s1025" type="#_x0000_t136" style="position:absolute;margin-left:0;margin-top:0;width:442.7pt;height:295.1pt;rotation:315;z-index:-251658752;mso-position-horizontal:center;mso-position-horizontal-relative:margin;mso-position-vertical:center;mso-position-vertical-relative:margin" o:allowincell="f" fillcolor="silver" stroked="f">
              <v:fill opacity=".5"/>
              <v:textpath style="font-family:&quot;sans sarif Calibri&quot;;font-size:1pt" string="NIJ"/>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C13E85"/>
    <w:multiLevelType w:val="multilevel"/>
    <w:tmpl w:val="8C1455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3FD34BB"/>
    <w:multiLevelType w:val="multilevel"/>
    <w:tmpl w:val="60CC0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F01914"/>
    <w:multiLevelType w:val="multilevel"/>
    <w:tmpl w:val="86285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4D0D16"/>
    <w:multiLevelType w:val="multilevel"/>
    <w:tmpl w:val="66007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23C0DAE"/>
    <w:multiLevelType w:val="hybridMultilevel"/>
    <w:tmpl w:val="23000D9E"/>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5" w15:restartNumberingAfterBreak="0">
    <w:nsid w:val="59805362"/>
    <w:multiLevelType w:val="multilevel"/>
    <w:tmpl w:val="19D8FA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F504EA8"/>
    <w:multiLevelType w:val="multilevel"/>
    <w:tmpl w:val="6E2CF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C433A4"/>
    <w:multiLevelType w:val="hybridMultilevel"/>
    <w:tmpl w:val="C7B88670"/>
    <w:lvl w:ilvl="0" w:tplc="E6E815DA">
      <w:start w:val="1"/>
      <w:numFmt w:val="decimal"/>
      <w:lvlText w:val="%1."/>
      <w:lvlJc w:val="left"/>
      <w:pPr>
        <w:ind w:left="2307"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9F286252">
      <w:numFmt w:val="bullet"/>
      <w:lvlText w:val="•"/>
      <w:lvlJc w:val="left"/>
      <w:pPr>
        <w:ind w:left="3150" w:hanging="360"/>
      </w:pPr>
      <w:rPr>
        <w:rFonts w:hint="default"/>
        <w:lang w:val="en-US" w:eastAsia="en-US" w:bidi="ar-SA"/>
      </w:rPr>
    </w:lvl>
    <w:lvl w:ilvl="2" w:tplc="4AB0D3F2">
      <w:numFmt w:val="bullet"/>
      <w:lvlText w:val="•"/>
      <w:lvlJc w:val="left"/>
      <w:pPr>
        <w:ind w:left="4001" w:hanging="360"/>
      </w:pPr>
      <w:rPr>
        <w:rFonts w:hint="default"/>
        <w:lang w:val="en-US" w:eastAsia="en-US" w:bidi="ar-SA"/>
      </w:rPr>
    </w:lvl>
    <w:lvl w:ilvl="3" w:tplc="6C160638">
      <w:numFmt w:val="bullet"/>
      <w:lvlText w:val="•"/>
      <w:lvlJc w:val="left"/>
      <w:pPr>
        <w:ind w:left="4852" w:hanging="360"/>
      </w:pPr>
      <w:rPr>
        <w:rFonts w:hint="default"/>
        <w:lang w:val="en-US" w:eastAsia="en-US" w:bidi="ar-SA"/>
      </w:rPr>
    </w:lvl>
    <w:lvl w:ilvl="4" w:tplc="FA680F0C">
      <w:numFmt w:val="bullet"/>
      <w:lvlText w:val="•"/>
      <w:lvlJc w:val="left"/>
      <w:pPr>
        <w:ind w:left="5703" w:hanging="360"/>
      </w:pPr>
      <w:rPr>
        <w:rFonts w:hint="default"/>
        <w:lang w:val="en-US" w:eastAsia="en-US" w:bidi="ar-SA"/>
      </w:rPr>
    </w:lvl>
    <w:lvl w:ilvl="5" w:tplc="B4E8C69A">
      <w:numFmt w:val="bullet"/>
      <w:lvlText w:val="•"/>
      <w:lvlJc w:val="left"/>
      <w:pPr>
        <w:ind w:left="6554" w:hanging="360"/>
      </w:pPr>
      <w:rPr>
        <w:rFonts w:hint="default"/>
        <w:lang w:val="en-US" w:eastAsia="en-US" w:bidi="ar-SA"/>
      </w:rPr>
    </w:lvl>
    <w:lvl w:ilvl="6" w:tplc="94E6C7B0">
      <w:numFmt w:val="bullet"/>
      <w:lvlText w:val="•"/>
      <w:lvlJc w:val="left"/>
      <w:pPr>
        <w:ind w:left="7405" w:hanging="360"/>
      </w:pPr>
      <w:rPr>
        <w:rFonts w:hint="default"/>
        <w:lang w:val="en-US" w:eastAsia="en-US" w:bidi="ar-SA"/>
      </w:rPr>
    </w:lvl>
    <w:lvl w:ilvl="7" w:tplc="653AECD8">
      <w:numFmt w:val="bullet"/>
      <w:lvlText w:val="•"/>
      <w:lvlJc w:val="left"/>
      <w:pPr>
        <w:ind w:left="8256" w:hanging="360"/>
      </w:pPr>
      <w:rPr>
        <w:rFonts w:hint="default"/>
        <w:lang w:val="en-US" w:eastAsia="en-US" w:bidi="ar-SA"/>
      </w:rPr>
    </w:lvl>
    <w:lvl w:ilvl="8" w:tplc="A648AC08">
      <w:numFmt w:val="bullet"/>
      <w:lvlText w:val="•"/>
      <w:lvlJc w:val="left"/>
      <w:pPr>
        <w:ind w:left="9107" w:hanging="360"/>
      </w:pPr>
      <w:rPr>
        <w:rFonts w:hint="default"/>
        <w:lang w:val="en-US" w:eastAsia="en-US" w:bidi="ar-SA"/>
      </w:rPr>
    </w:lvl>
  </w:abstractNum>
  <w:abstractNum w:abstractNumId="8" w15:restartNumberingAfterBreak="0">
    <w:nsid w:val="6B957954"/>
    <w:multiLevelType w:val="multilevel"/>
    <w:tmpl w:val="66007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26B4E97"/>
    <w:multiLevelType w:val="multilevel"/>
    <w:tmpl w:val="7FCAD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82410299">
    <w:abstractNumId w:val="5"/>
  </w:num>
  <w:num w:numId="2" w16cid:durableId="798717773">
    <w:abstractNumId w:val="2"/>
  </w:num>
  <w:num w:numId="3" w16cid:durableId="1819421667">
    <w:abstractNumId w:val="9"/>
  </w:num>
  <w:num w:numId="4" w16cid:durableId="101464016">
    <w:abstractNumId w:val="3"/>
  </w:num>
  <w:num w:numId="5" w16cid:durableId="323364433">
    <w:abstractNumId w:val="7"/>
  </w:num>
  <w:num w:numId="6" w16cid:durableId="363558128">
    <w:abstractNumId w:val="8"/>
  </w:num>
  <w:num w:numId="7" w16cid:durableId="1127163952">
    <w:abstractNumId w:val="4"/>
  </w:num>
  <w:num w:numId="8" w16cid:durableId="511258077">
    <w:abstractNumId w:val="6"/>
  </w:num>
  <w:num w:numId="9" w16cid:durableId="1627740449">
    <w:abstractNumId w:val="1"/>
  </w:num>
  <w:num w:numId="10" w16cid:durableId="344982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2AD0"/>
    <w:rsid w:val="00057079"/>
    <w:rsid w:val="000808CB"/>
    <w:rsid w:val="00084EA2"/>
    <w:rsid w:val="000F16A3"/>
    <w:rsid w:val="00103DA7"/>
    <w:rsid w:val="00126BCC"/>
    <w:rsid w:val="00140EC2"/>
    <w:rsid w:val="00151FD4"/>
    <w:rsid w:val="00157D13"/>
    <w:rsid w:val="001D332D"/>
    <w:rsid w:val="0020751D"/>
    <w:rsid w:val="002200C2"/>
    <w:rsid w:val="00245B14"/>
    <w:rsid w:val="002561AA"/>
    <w:rsid w:val="00276799"/>
    <w:rsid w:val="002A32F3"/>
    <w:rsid w:val="002C734E"/>
    <w:rsid w:val="002E062D"/>
    <w:rsid w:val="002F2610"/>
    <w:rsid w:val="003102D8"/>
    <w:rsid w:val="00391A54"/>
    <w:rsid w:val="003E2F34"/>
    <w:rsid w:val="003F4463"/>
    <w:rsid w:val="004B4989"/>
    <w:rsid w:val="004B505E"/>
    <w:rsid w:val="004B5F01"/>
    <w:rsid w:val="004C5A16"/>
    <w:rsid w:val="005027C3"/>
    <w:rsid w:val="00503766"/>
    <w:rsid w:val="00506603"/>
    <w:rsid w:val="0051307A"/>
    <w:rsid w:val="005156FE"/>
    <w:rsid w:val="00522B19"/>
    <w:rsid w:val="00544183"/>
    <w:rsid w:val="005841DE"/>
    <w:rsid w:val="005867CC"/>
    <w:rsid w:val="00592E7C"/>
    <w:rsid w:val="005C48F4"/>
    <w:rsid w:val="005E70AB"/>
    <w:rsid w:val="00656147"/>
    <w:rsid w:val="00676AC3"/>
    <w:rsid w:val="00692AD0"/>
    <w:rsid w:val="00730112"/>
    <w:rsid w:val="007550E3"/>
    <w:rsid w:val="00894506"/>
    <w:rsid w:val="008F561C"/>
    <w:rsid w:val="0090004A"/>
    <w:rsid w:val="00904798"/>
    <w:rsid w:val="009209EA"/>
    <w:rsid w:val="00941394"/>
    <w:rsid w:val="00944C5F"/>
    <w:rsid w:val="009647FE"/>
    <w:rsid w:val="009A5115"/>
    <w:rsid w:val="009F2F35"/>
    <w:rsid w:val="00A56200"/>
    <w:rsid w:val="00A603F1"/>
    <w:rsid w:val="00A960EA"/>
    <w:rsid w:val="00B0359E"/>
    <w:rsid w:val="00B351F4"/>
    <w:rsid w:val="00B412A5"/>
    <w:rsid w:val="00BE5BA8"/>
    <w:rsid w:val="00BF09E1"/>
    <w:rsid w:val="00BF267E"/>
    <w:rsid w:val="00C40859"/>
    <w:rsid w:val="00C75E9D"/>
    <w:rsid w:val="00C874E7"/>
    <w:rsid w:val="00CC4168"/>
    <w:rsid w:val="00CC7373"/>
    <w:rsid w:val="00CE7687"/>
    <w:rsid w:val="00CF5164"/>
    <w:rsid w:val="00D11F98"/>
    <w:rsid w:val="00D42B05"/>
    <w:rsid w:val="00DA2963"/>
    <w:rsid w:val="00DD6191"/>
    <w:rsid w:val="00E50F03"/>
    <w:rsid w:val="00E70D6D"/>
    <w:rsid w:val="00E82A44"/>
    <w:rsid w:val="00EC3896"/>
    <w:rsid w:val="00ED4488"/>
    <w:rsid w:val="00EF6697"/>
    <w:rsid w:val="00F24183"/>
    <w:rsid w:val="00F2700E"/>
    <w:rsid w:val="00F91164"/>
    <w:rsid w:val="00FB44C8"/>
    <w:rsid w:val="00FD69BE"/>
    <w:rsid w:val="00FF7A49"/>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D99D74"/>
  <w15:chartTrackingRefBased/>
  <w15:docId w15:val="{C7972D53-4AB5-4E55-92C2-12BBE5790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mr-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2AD0"/>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692AD0"/>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692AD0"/>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692AD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92AD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92A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2A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2A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2A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AD0"/>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692AD0"/>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692AD0"/>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692AD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92AD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92A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2A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2A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2AD0"/>
    <w:rPr>
      <w:rFonts w:eastAsiaTheme="majorEastAsia" w:cstheme="majorBidi"/>
      <w:color w:val="272727" w:themeColor="text1" w:themeTint="D8"/>
    </w:rPr>
  </w:style>
  <w:style w:type="paragraph" w:styleId="Title">
    <w:name w:val="Title"/>
    <w:basedOn w:val="Normal"/>
    <w:next w:val="Normal"/>
    <w:link w:val="TitleChar"/>
    <w:uiPriority w:val="10"/>
    <w:qFormat/>
    <w:rsid w:val="00692AD0"/>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692AD0"/>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692AD0"/>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692AD0"/>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692AD0"/>
    <w:pPr>
      <w:spacing w:before="160"/>
      <w:jc w:val="center"/>
    </w:pPr>
    <w:rPr>
      <w:i/>
      <w:iCs/>
      <w:color w:val="404040" w:themeColor="text1" w:themeTint="BF"/>
    </w:rPr>
  </w:style>
  <w:style w:type="character" w:customStyle="1" w:styleId="QuoteChar">
    <w:name w:val="Quote Char"/>
    <w:basedOn w:val="DefaultParagraphFont"/>
    <w:link w:val="Quote"/>
    <w:uiPriority w:val="29"/>
    <w:rsid w:val="00692AD0"/>
    <w:rPr>
      <w:i/>
      <w:iCs/>
      <w:color w:val="404040" w:themeColor="text1" w:themeTint="BF"/>
    </w:rPr>
  </w:style>
  <w:style w:type="paragraph" w:styleId="ListParagraph">
    <w:name w:val="List Paragraph"/>
    <w:basedOn w:val="Normal"/>
    <w:uiPriority w:val="1"/>
    <w:qFormat/>
    <w:rsid w:val="00692AD0"/>
    <w:pPr>
      <w:ind w:left="720"/>
      <w:contextualSpacing/>
    </w:pPr>
  </w:style>
  <w:style w:type="character" w:styleId="IntenseEmphasis">
    <w:name w:val="Intense Emphasis"/>
    <w:basedOn w:val="DefaultParagraphFont"/>
    <w:uiPriority w:val="21"/>
    <w:qFormat/>
    <w:rsid w:val="00692AD0"/>
    <w:rPr>
      <w:i/>
      <w:iCs/>
      <w:color w:val="2F5496" w:themeColor="accent1" w:themeShade="BF"/>
    </w:rPr>
  </w:style>
  <w:style w:type="paragraph" w:styleId="IntenseQuote">
    <w:name w:val="Intense Quote"/>
    <w:basedOn w:val="Normal"/>
    <w:next w:val="Normal"/>
    <w:link w:val="IntenseQuoteChar"/>
    <w:uiPriority w:val="30"/>
    <w:qFormat/>
    <w:rsid w:val="00692A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92AD0"/>
    <w:rPr>
      <w:i/>
      <w:iCs/>
      <w:color w:val="2F5496" w:themeColor="accent1" w:themeShade="BF"/>
    </w:rPr>
  </w:style>
  <w:style w:type="character" w:styleId="IntenseReference">
    <w:name w:val="Intense Reference"/>
    <w:basedOn w:val="DefaultParagraphFont"/>
    <w:uiPriority w:val="32"/>
    <w:qFormat/>
    <w:rsid w:val="00692AD0"/>
    <w:rPr>
      <w:b/>
      <w:bCs/>
      <w:smallCaps/>
      <w:color w:val="2F5496" w:themeColor="accent1" w:themeShade="BF"/>
      <w:spacing w:val="5"/>
    </w:rPr>
  </w:style>
  <w:style w:type="paragraph" w:styleId="BodyText">
    <w:name w:val="Body Text"/>
    <w:basedOn w:val="Normal"/>
    <w:link w:val="BodyTextChar"/>
    <w:uiPriority w:val="1"/>
    <w:qFormat/>
    <w:rsid w:val="005E70AB"/>
    <w:pPr>
      <w:widowControl w:val="0"/>
      <w:autoSpaceDE w:val="0"/>
      <w:autoSpaceDN w:val="0"/>
      <w:spacing w:after="0" w:line="240" w:lineRule="auto"/>
    </w:pPr>
    <w:rPr>
      <w:rFonts w:ascii="Times New Roman" w:eastAsia="Times New Roman" w:hAnsi="Times New Roman" w:cs="Times New Roman"/>
      <w:kern w:val="0"/>
      <w:szCs w:val="24"/>
      <w:lang w:val="en-US" w:bidi="ar-SA"/>
      <w14:ligatures w14:val="none"/>
    </w:rPr>
  </w:style>
  <w:style w:type="character" w:customStyle="1" w:styleId="BodyTextChar">
    <w:name w:val="Body Text Char"/>
    <w:basedOn w:val="DefaultParagraphFont"/>
    <w:link w:val="BodyText"/>
    <w:uiPriority w:val="1"/>
    <w:rsid w:val="005E70AB"/>
    <w:rPr>
      <w:rFonts w:ascii="Times New Roman" w:eastAsia="Times New Roman" w:hAnsi="Times New Roman" w:cs="Times New Roman"/>
      <w:kern w:val="0"/>
      <w:szCs w:val="24"/>
      <w:lang w:val="en-US" w:bidi="ar-SA"/>
      <w14:ligatures w14:val="none"/>
    </w:rPr>
  </w:style>
  <w:style w:type="character" w:styleId="Hyperlink">
    <w:name w:val="Hyperlink"/>
    <w:basedOn w:val="DefaultParagraphFont"/>
    <w:uiPriority w:val="99"/>
    <w:unhideWhenUsed/>
    <w:rsid w:val="00245B14"/>
    <w:rPr>
      <w:color w:val="0563C1" w:themeColor="hyperlink"/>
      <w:u w:val="single"/>
    </w:rPr>
  </w:style>
  <w:style w:type="character" w:customStyle="1" w:styleId="UnresolvedMention1">
    <w:name w:val="Unresolved Mention1"/>
    <w:basedOn w:val="DefaultParagraphFont"/>
    <w:uiPriority w:val="99"/>
    <w:semiHidden/>
    <w:unhideWhenUsed/>
    <w:rsid w:val="00245B14"/>
    <w:rPr>
      <w:color w:val="605E5C"/>
      <w:shd w:val="clear" w:color="auto" w:fill="E1DFDD"/>
    </w:rPr>
  </w:style>
  <w:style w:type="paragraph" w:styleId="Header">
    <w:name w:val="header"/>
    <w:basedOn w:val="Normal"/>
    <w:link w:val="HeaderChar"/>
    <w:uiPriority w:val="99"/>
    <w:unhideWhenUsed/>
    <w:rsid w:val="001D33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332D"/>
  </w:style>
  <w:style w:type="paragraph" w:styleId="Footer">
    <w:name w:val="footer"/>
    <w:basedOn w:val="Normal"/>
    <w:link w:val="FooterChar"/>
    <w:uiPriority w:val="99"/>
    <w:unhideWhenUsed/>
    <w:rsid w:val="001D33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332D"/>
  </w:style>
  <w:style w:type="character" w:styleId="UnresolvedMention">
    <w:name w:val="Unresolved Mention"/>
    <w:basedOn w:val="DefaultParagraphFont"/>
    <w:uiPriority w:val="99"/>
    <w:semiHidden/>
    <w:unhideWhenUsed/>
    <w:rsid w:val="00FD69BE"/>
    <w:rPr>
      <w:color w:val="605E5C"/>
      <w:shd w:val="clear" w:color="auto" w:fill="E1DFDD"/>
    </w:rPr>
  </w:style>
  <w:style w:type="paragraph" w:styleId="NormalWeb">
    <w:name w:val="Normal (Web)"/>
    <w:basedOn w:val="Normal"/>
    <w:uiPriority w:val="99"/>
    <w:semiHidden/>
    <w:unhideWhenUsed/>
    <w:rsid w:val="00084EA2"/>
    <w:pPr>
      <w:spacing w:before="100" w:beforeAutospacing="1" w:after="100" w:afterAutospacing="1" w:line="240" w:lineRule="auto"/>
    </w:pPr>
    <w:rPr>
      <w:rFonts w:ascii="Times New Roman" w:eastAsia="Times New Roman" w:hAnsi="Times New Roman" w:cs="Times New Roman"/>
      <w:kern w:val="0"/>
      <w:szCs w:val="24"/>
      <w:lang w:eastAsia="en-IN" w:bidi="ar-SA"/>
      <w14:ligatures w14:val="none"/>
    </w:rPr>
  </w:style>
  <w:style w:type="character" w:styleId="Emphasis">
    <w:name w:val="Emphasis"/>
    <w:basedOn w:val="DefaultParagraphFont"/>
    <w:uiPriority w:val="20"/>
    <w:qFormat/>
    <w:rsid w:val="00084E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7124">
      <w:bodyDiv w:val="1"/>
      <w:marLeft w:val="0"/>
      <w:marRight w:val="0"/>
      <w:marTop w:val="0"/>
      <w:marBottom w:val="0"/>
      <w:divBdr>
        <w:top w:val="none" w:sz="0" w:space="0" w:color="auto"/>
        <w:left w:val="none" w:sz="0" w:space="0" w:color="auto"/>
        <w:bottom w:val="none" w:sz="0" w:space="0" w:color="auto"/>
        <w:right w:val="none" w:sz="0" w:space="0" w:color="auto"/>
      </w:divBdr>
    </w:div>
    <w:div w:id="79638728">
      <w:bodyDiv w:val="1"/>
      <w:marLeft w:val="0"/>
      <w:marRight w:val="0"/>
      <w:marTop w:val="0"/>
      <w:marBottom w:val="0"/>
      <w:divBdr>
        <w:top w:val="none" w:sz="0" w:space="0" w:color="auto"/>
        <w:left w:val="none" w:sz="0" w:space="0" w:color="auto"/>
        <w:bottom w:val="none" w:sz="0" w:space="0" w:color="auto"/>
        <w:right w:val="none" w:sz="0" w:space="0" w:color="auto"/>
      </w:divBdr>
    </w:div>
    <w:div w:id="131560243">
      <w:bodyDiv w:val="1"/>
      <w:marLeft w:val="0"/>
      <w:marRight w:val="0"/>
      <w:marTop w:val="0"/>
      <w:marBottom w:val="0"/>
      <w:divBdr>
        <w:top w:val="none" w:sz="0" w:space="0" w:color="auto"/>
        <w:left w:val="none" w:sz="0" w:space="0" w:color="auto"/>
        <w:bottom w:val="none" w:sz="0" w:space="0" w:color="auto"/>
        <w:right w:val="none" w:sz="0" w:space="0" w:color="auto"/>
      </w:divBdr>
      <w:divsChild>
        <w:div w:id="893003356">
          <w:marLeft w:val="0"/>
          <w:marRight w:val="0"/>
          <w:marTop w:val="0"/>
          <w:marBottom w:val="0"/>
          <w:divBdr>
            <w:top w:val="none" w:sz="0" w:space="0" w:color="auto"/>
            <w:left w:val="none" w:sz="0" w:space="0" w:color="auto"/>
            <w:bottom w:val="none" w:sz="0" w:space="0" w:color="auto"/>
            <w:right w:val="none" w:sz="0" w:space="0" w:color="auto"/>
          </w:divBdr>
        </w:div>
        <w:div w:id="744258702">
          <w:marLeft w:val="0"/>
          <w:marRight w:val="0"/>
          <w:marTop w:val="0"/>
          <w:marBottom w:val="0"/>
          <w:divBdr>
            <w:top w:val="none" w:sz="0" w:space="0" w:color="auto"/>
            <w:left w:val="none" w:sz="0" w:space="0" w:color="auto"/>
            <w:bottom w:val="none" w:sz="0" w:space="0" w:color="auto"/>
            <w:right w:val="none" w:sz="0" w:space="0" w:color="auto"/>
          </w:divBdr>
        </w:div>
      </w:divsChild>
    </w:div>
    <w:div w:id="141965253">
      <w:bodyDiv w:val="1"/>
      <w:marLeft w:val="0"/>
      <w:marRight w:val="0"/>
      <w:marTop w:val="0"/>
      <w:marBottom w:val="0"/>
      <w:divBdr>
        <w:top w:val="none" w:sz="0" w:space="0" w:color="auto"/>
        <w:left w:val="none" w:sz="0" w:space="0" w:color="auto"/>
        <w:bottom w:val="none" w:sz="0" w:space="0" w:color="auto"/>
        <w:right w:val="none" w:sz="0" w:space="0" w:color="auto"/>
      </w:divBdr>
    </w:div>
    <w:div w:id="159080907">
      <w:bodyDiv w:val="1"/>
      <w:marLeft w:val="0"/>
      <w:marRight w:val="0"/>
      <w:marTop w:val="0"/>
      <w:marBottom w:val="0"/>
      <w:divBdr>
        <w:top w:val="none" w:sz="0" w:space="0" w:color="auto"/>
        <w:left w:val="none" w:sz="0" w:space="0" w:color="auto"/>
        <w:bottom w:val="none" w:sz="0" w:space="0" w:color="auto"/>
        <w:right w:val="none" w:sz="0" w:space="0" w:color="auto"/>
      </w:divBdr>
    </w:div>
    <w:div w:id="405079019">
      <w:bodyDiv w:val="1"/>
      <w:marLeft w:val="0"/>
      <w:marRight w:val="0"/>
      <w:marTop w:val="0"/>
      <w:marBottom w:val="0"/>
      <w:divBdr>
        <w:top w:val="none" w:sz="0" w:space="0" w:color="auto"/>
        <w:left w:val="none" w:sz="0" w:space="0" w:color="auto"/>
        <w:bottom w:val="none" w:sz="0" w:space="0" w:color="auto"/>
        <w:right w:val="none" w:sz="0" w:space="0" w:color="auto"/>
      </w:divBdr>
    </w:div>
    <w:div w:id="430049084">
      <w:bodyDiv w:val="1"/>
      <w:marLeft w:val="0"/>
      <w:marRight w:val="0"/>
      <w:marTop w:val="0"/>
      <w:marBottom w:val="0"/>
      <w:divBdr>
        <w:top w:val="none" w:sz="0" w:space="0" w:color="auto"/>
        <w:left w:val="none" w:sz="0" w:space="0" w:color="auto"/>
        <w:bottom w:val="none" w:sz="0" w:space="0" w:color="auto"/>
        <w:right w:val="none" w:sz="0" w:space="0" w:color="auto"/>
      </w:divBdr>
      <w:divsChild>
        <w:div w:id="1067066855">
          <w:marLeft w:val="0"/>
          <w:marRight w:val="0"/>
          <w:marTop w:val="0"/>
          <w:marBottom w:val="0"/>
          <w:divBdr>
            <w:top w:val="none" w:sz="0" w:space="0" w:color="auto"/>
            <w:left w:val="none" w:sz="0" w:space="0" w:color="auto"/>
            <w:bottom w:val="none" w:sz="0" w:space="0" w:color="auto"/>
            <w:right w:val="none" w:sz="0" w:space="0" w:color="auto"/>
          </w:divBdr>
        </w:div>
      </w:divsChild>
    </w:div>
    <w:div w:id="447621936">
      <w:bodyDiv w:val="1"/>
      <w:marLeft w:val="0"/>
      <w:marRight w:val="0"/>
      <w:marTop w:val="0"/>
      <w:marBottom w:val="0"/>
      <w:divBdr>
        <w:top w:val="none" w:sz="0" w:space="0" w:color="auto"/>
        <w:left w:val="none" w:sz="0" w:space="0" w:color="auto"/>
        <w:bottom w:val="none" w:sz="0" w:space="0" w:color="auto"/>
        <w:right w:val="none" w:sz="0" w:space="0" w:color="auto"/>
      </w:divBdr>
    </w:div>
    <w:div w:id="455565541">
      <w:bodyDiv w:val="1"/>
      <w:marLeft w:val="0"/>
      <w:marRight w:val="0"/>
      <w:marTop w:val="0"/>
      <w:marBottom w:val="0"/>
      <w:divBdr>
        <w:top w:val="none" w:sz="0" w:space="0" w:color="auto"/>
        <w:left w:val="none" w:sz="0" w:space="0" w:color="auto"/>
        <w:bottom w:val="none" w:sz="0" w:space="0" w:color="auto"/>
        <w:right w:val="none" w:sz="0" w:space="0" w:color="auto"/>
      </w:divBdr>
    </w:div>
    <w:div w:id="474373551">
      <w:bodyDiv w:val="1"/>
      <w:marLeft w:val="0"/>
      <w:marRight w:val="0"/>
      <w:marTop w:val="0"/>
      <w:marBottom w:val="0"/>
      <w:divBdr>
        <w:top w:val="none" w:sz="0" w:space="0" w:color="auto"/>
        <w:left w:val="none" w:sz="0" w:space="0" w:color="auto"/>
        <w:bottom w:val="none" w:sz="0" w:space="0" w:color="auto"/>
        <w:right w:val="none" w:sz="0" w:space="0" w:color="auto"/>
      </w:divBdr>
    </w:div>
    <w:div w:id="496723960">
      <w:bodyDiv w:val="1"/>
      <w:marLeft w:val="0"/>
      <w:marRight w:val="0"/>
      <w:marTop w:val="0"/>
      <w:marBottom w:val="0"/>
      <w:divBdr>
        <w:top w:val="none" w:sz="0" w:space="0" w:color="auto"/>
        <w:left w:val="none" w:sz="0" w:space="0" w:color="auto"/>
        <w:bottom w:val="none" w:sz="0" w:space="0" w:color="auto"/>
        <w:right w:val="none" w:sz="0" w:space="0" w:color="auto"/>
      </w:divBdr>
    </w:div>
    <w:div w:id="608437437">
      <w:bodyDiv w:val="1"/>
      <w:marLeft w:val="0"/>
      <w:marRight w:val="0"/>
      <w:marTop w:val="0"/>
      <w:marBottom w:val="0"/>
      <w:divBdr>
        <w:top w:val="none" w:sz="0" w:space="0" w:color="auto"/>
        <w:left w:val="none" w:sz="0" w:space="0" w:color="auto"/>
        <w:bottom w:val="none" w:sz="0" w:space="0" w:color="auto"/>
        <w:right w:val="none" w:sz="0" w:space="0" w:color="auto"/>
      </w:divBdr>
    </w:div>
    <w:div w:id="619918640">
      <w:bodyDiv w:val="1"/>
      <w:marLeft w:val="0"/>
      <w:marRight w:val="0"/>
      <w:marTop w:val="0"/>
      <w:marBottom w:val="0"/>
      <w:divBdr>
        <w:top w:val="none" w:sz="0" w:space="0" w:color="auto"/>
        <w:left w:val="none" w:sz="0" w:space="0" w:color="auto"/>
        <w:bottom w:val="none" w:sz="0" w:space="0" w:color="auto"/>
        <w:right w:val="none" w:sz="0" w:space="0" w:color="auto"/>
      </w:divBdr>
    </w:div>
    <w:div w:id="820851095">
      <w:bodyDiv w:val="1"/>
      <w:marLeft w:val="0"/>
      <w:marRight w:val="0"/>
      <w:marTop w:val="0"/>
      <w:marBottom w:val="0"/>
      <w:divBdr>
        <w:top w:val="none" w:sz="0" w:space="0" w:color="auto"/>
        <w:left w:val="none" w:sz="0" w:space="0" w:color="auto"/>
        <w:bottom w:val="none" w:sz="0" w:space="0" w:color="auto"/>
        <w:right w:val="none" w:sz="0" w:space="0" w:color="auto"/>
      </w:divBdr>
    </w:div>
    <w:div w:id="881989003">
      <w:bodyDiv w:val="1"/>
      <w:marLeft w:val="0"/>
      <w:marRight w:val="0"/>
      <w:marTop w:val="0"/>
      <w:marBottom w:val="0"/>
      <w:divBdr>
        <w:top w:val="none" w:sz="0" w:space="0" w:color="auto"/>
        <w:left w:val="none" w:sz="0" w:space="0" w:color="auto"/>
        <w:bottom w:val="none" w:sz="0" w:space="0" w:color="auto"/>
        <w:right w:val="none" w:sz="0" w:space="0" w:color="auto"/>
      </w:divBdr>
    </w:div>
    <w:div w:id="895626822">
      <w:bodyDiv w:val="1"/>
      <w:marLeft w:val="0"/>
      <w:marRight w:val="0"/>
      <w:marTop w:val="0"/>
      <w:marBottom w:val="0"/>
      <w:divBdr>
        <w:top w:val="none" w:sz="0" w:space="0" w:color="auto"/>
        <w:left w:val="none" w:sz="0" w:space="0" w:color="auto"/>
        <w:bottom w:val="none" w:sz="0" w:space="0" w:color="auto"/>
        <w:right w:val="none" w:sz="0" w:space="0" w:color="auto"/>
      </w:divBdr>
    </w:div>
    <w:div w:id="918902524">
      <w:bodyDiv w:val="1"/>
      <w:marLeft w:val="0"/>
      <w:marRight w:val="0"/>
      <w:marTop w:val="0"/>
      <w:marBottom w:val="0"/>
      <w:divBdr>
        <w:top w:val="none" w:sz="0" w:space="0" w:color="auto"/>
        <w:left w:val="none" w:sz="0" w:space="0" w:color="auto"/>
        <w:bottom w:val="none" w:sz="0" w:space="0" w:color="auto"/>
        <w:right w:val="none" w:sz="0" w:space="0" w:color="auto"/>
      </w:divBdr>
    </w:div>
    <w:div w:id="936788447">
      <w:bodyDiv w:val="1"/>
      <w:marLeft w:val="0"/>
      <w:marRight w:val="0"/>
      <w:marTop w:val="0"/>
      <w:marBottom w:val="0"/>
      <w:divBdr>
        <w:top w:val="none" w:sz="0" w:space="0" w:color="auto"/>
        <w:left w:val="none" w:sz="0" w:space="0" w:color="auto"/>
        <w:bottom w:val="none" w:sz="0" w:space="0" w:color="auto"/>
        <w:right w:val="none" w:sz="0" w:space="0" w:color="auto"/>
      </w:divBdr>
    </w:div>
    <w:div w:id="947540171">
      <w:bodyDiv w:val="1"/>
      <w:marLeft w:val="0"/>
      <w:marRight w:val="0"/>
      <w:marTop w:val="0"/>
      <w:marBottom w:val="0"/>
      <w:divBdr>
        <w:top w:val="none" w:sz="0" w:space="0" w:color="auto"/>
        <w:left w:val="none" w:sz="0" w:space="0" w:color="auto"/>
        <w:bottom w:val="none" w:sz="0" w:space="0" w:color="auto"/>
        <w:right w:val="none" w:sz="0" w:space="0" w:color="auto"/>
      </w:divBdr>
    </w:div>
    <w:div w:id="951979205">
      <w:bodyDiv w:val="1"/>
      <w:marLeft w:val="0"/>
      <w:marRight w:val="0"/>
      <w:marTop w:val="0"/>
      <w:marBottom w:val="0"/>
      <w:divBdr>
        <w:top w:val="none" w:sz="0" w:space="0" w:color="auto"/>
        <w:left w:val="none" w:sz="0" w:space="0" w:color="auto"/>
        <w:bottom w:val="none" w:sz="0" w:space="0" w:color="auto"/>
        <w:right w:val="none" w:sz="0" w:space="0" w:color="auto"/>
      </w:divBdr>
    </w:div>
    <w:div w:id="1081293133">
      <w:bodyDiv w:val="1"/>
      <w:marLeft w:val="0"/>
      <w:marRight w:val="0"/>
      <w:marTop w:val="0"/>
      <w:marBottom w:val="0"/>
      <w:divBdr>
        <w:top w:val="none" w:sz="0" w:space="0" w:color="auto"/>
        <w:left w:val="none" w:sz="0" w:space="0" w:color="auto"/>
        <w:bottom w:val="none" w:sz="0" w:space="0" w:color="auto"/>
        <w:right w:val="none" w:sz="0" w:space="0" w:color="auto"/>
      </w:divBdr>
      <w:divsChild>
        <w:div w:id="1813137450">
          <w:marLeft w:val="0"/>
          <w:marRight w:val="0"/>
          <w:marTop w:val="0"/>
          <w:marBottom w:val="0"/>
          <w:divBdr>
            <w:top w:val="none" w:sz="0" w:space="0" w:color="auto"/>
            <w:left w:val="none" w:sz="0" w:space="0" w:color="auto"/>
            <w:bottom w:val="none" w:sz="0" w:space="0" w:color="auto"/>
            <w:right w:val="none" w:sz="0" w:space="0" w:color="auto"/>
          </w:divBdr>
        </w:div>
        <w:div w:id="138042396">
          <w:marLeft w:val="0"/>
          <w:marRight w:val="0"/>
          <w:marTop w:val="0"/>
          <w:marBottom w:val="0"/>
          <w:divBdr>
            <w:top w:val="none" w:sz="0" w:space="0" w:color="auto"/>
            <w:left w:val="none" w:sz="0" w:space="0" w:color="auto"/>
            <w:bottom w:val="none" w:sz="0" w:space="0" w:color="auto"/>
            <w:right w:val="none" w:sz="0" w:space="0" w:color="auto"/>
          </w:divBdr>
        </w:div>
      </w:divsChild>
    </w:div>
    <w:div w:id="1130980123">
      <w:bodyDiv w:val="1"/>
      <w:marLeft w:val="0"/>
      <w:marRight w:val="0"/>
      <w:marTop w:val="0"/>
      <w:marBottom w:val="0"/>
      <w:divBdr>
        <w:top w:val="none" w:sz="0" w:space="0" w:color="auto"/>
        <w:left w:val="none" w:sz="0" w:space="0" w:color="auto"/>
        <w:bottom w:val="none" w:sz="0" w:space="0" w:color="auto"/>
        <w:right w:val="none" w:sz="0" w:space="0" w:color="auto"/>
      </w:divBdr>
    </w:div>
    <w:div w:id="1196698918">
      <w:bodyDiv w:val="1"/>
      <w:marLeft w:val="0"/>
      <w:marRight w:val="0"/>
      <w:marTop w:val="0"/>
      <w:marBottom w:val="0"/>
      <w:divBdr>
        <w:top w:val="none" w:sz="0" w:space="0" w:color="auto"/>
        <w:left w:val="none" w:sz="0" w:space="0" w:color="auto"/>
        <w:bottom w:val="none" w:sz="0" w:space="0" w:color="auto"/>
        <w:right w:val="none" w:sz="0" w:space="0" w:color="auto"/>
      </w:divBdr>
    </w:div>
    <w:div w:id="1269892086">
      <w:bodyDiv w:val="1"/>
      <w:marLeft w:val="0"/>
      <w:marRight w:val="0"/>
      <w:marTop w:val="0"/>
      <w:marBottom w:val="0"/>
      <w:divBdr>
        <w:top w:val="none" w:sz="0" w:space="0" w:color="auto"/>
        <w:left w:val="none" w:sz="0" w:space="0" w:color="auto"/>
        <w:bottom w:val="none" w:sz="0" w:space="0" w:color="auto"/>
        <w:right w:val="none" w:sz="0" w:space="0" w:color="auto"/>
      </w:divBdr>
    </w:div>
    <w:div w:id="1708488772">
      <w:bodyDiv w:val="1"/>
      <w:marLeft w:val="0"/>
      <w:marRight w:val="0"/>
      <w:marTop w:val="0"/>
      <w:marBottom w:val="0"/>
      <w:divBdr>
        <w:top w:val="none" w:sz="0" w:space="0" w:color="auto"/>
        <w:left w:val="none" w:sz="0" w:space="0" w:color="auto"/>
        <w:bottom w:val="none" w:sz="0" w:space="0" w:color="auto"/>
        <w:right w:val="none" w:sz="0" w:space="0" w:color="auto"/>
      </w:divBdr>
    </w:div>
    <w:div w:id="2124496334">
      <w:bodyDiv w:val="1"/>
      <w:marLeft w:val="0"/>
      <w:marRight w:val="0"/>
      <w:marTop w:val="0"/>
      <w:marBottom w:val="0"/>
      <w:divBdr>
        <w:top w:val="none" w:sz="0" w:space="0" w:color="auto"/>
        <w:left w:val="none" w:sz="0" w:space="0" w:color="auto"/>
        <w:bottom w:val="none" w:sz="0" w:space="0" w:color="auto"/>
        <w:right w:val="none" w:sz="0" w:space="0" w:color="auto"/>
      </w:divBdr>
    </w:div>
    <w:div w:id="2133741922">
      <w:bodyDiv w:val="1"/>
      <w:marLeft w:val="0"/>
      <w:marRight w:val="0"/>
      <w:marTop w:val="0"/>
      <w:marBottom w:val="0"/>
      <w:divBdr>
        <w:top w:val="none" w:sz="0" w:space="0" w:color="auto"/>
        <w:left w:val="none" w:sz="0" w:space="0" w:color="auto"/>
        <w:bottom w:val="none" w:sz="0" w:space="0" w:color="auto"/>
        <w:right w:val="none" w:sz="0" w:space="0" w:color="auto"/>
      </w:divBdr>
    </w:div>
    <w:div w:id="2134906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oyalsocietypublishing.org/doi/full/10.1098/rstb.2005.1745" TargetMode="External"/><Relationship Id="rId13" Type="http://schemas.openxmlformats.org/officeDocument/2006/relationships/hyperlink" Target="https://link.springer.com/article/10.1007/s10900-019-00733-7" TargetMode="External"/><Relationship Id="rId18" Type="http://schemas.openxmlformats.org/officeDocument/2006/relationships/hyperlink" Target="https://doi.org/10.1108/NFS-03-2023-0055"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link.springer.com/article/10.1007/s10900-019-00733-7" TargetMode="External"/><Relationship Id="rId17" Type="http://schemas.openxmlformats.org/officeDocument/2006/relationships/hyperlink" Target="https://www.emerald.com/insight/publication/issn/0034-6659" TargetMode="External"/><Relationship Id="rId2" Type="http://schemas.openxmlformats.org/officeDocument/2006/relationships/numbering" Target="numbering.xml"/><Relationship Id="rId16" Type="http://schemas.openxmlformats.org/officeDocument/2006/relationships/hyperlink" Target="https://www.emerald.com/insight/search?q=Om%20Raj%20Katoch"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lancet.com/journals/langlo/article/PIIS2214-109X(14)70213-X/fulltext" TargetMode="External"/><Relationship Id="rId5" Type="http://schemas.openxmlformats.org/officeDocument/2006/relationships/webSettings" Target="webSettings.xml"/><Relationship Id="rId15" Type="http://schemas.openxmlformats.org/officeDocument/2006/relationships/hyperlink" Target="https://journals.sagepub.com/doi/full/10.1177/02601060241253327" TargetMode="External"/><Relationship Id="rId10" Type="http://schemas.openxmlformats.org/officeDocument/2006/relationships/hyperlink" Target="https://link.springer.com/article/10.1186/s12887-015-0496-3" TargetMode="External"/><Relationship Id="rId19" Type="http://schemas.openxmlformats.org/officeDocument/2006/relationships/hyperlink" Target="https://doi.org/10.53555/kuey.v30i6.5437" TargetMode="External"/><Relationship Id="rId4" Type="http://schemas.openxmlformats.org/officeDocument/2006/relationships/settings" Target="settings.xml"/><Relationship Id="rId9" Type="http://schemas.openxmlformats.org/officeDocument/2006/relationships/hyperlink" Target="https://royalsocietypublishing.org/doi/full/10.1098/rstb.2005.1745" TargetMode="External"/><Relationship Id="rId14" Type="http://schemas.openxmlformats.org/officeDocument/2006/relationships/hyperlink" Target="https://journals.sagepub.com/doi/full/10.1177/02601060241253327"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87C2BD-60FA-457E-8E95-6105B9311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1852</Words>
  <Characters>10561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Pravin Shinde</dc:creator>
  <cp:keywords/>
  <dc:description/>
  <cp:lastModifiedBy>Varsha Kunjir</cp:lastModifiedBy>
  <cp:revision>2</cp:revision>
  <dcterms:created xsi:type="dcterms:W3CDTF">2025-02-06T10:47:00Z</dcterms:created>
  <dcterms:modified xsi:type="dcterms:W3CDTF">2025-02-06T10:47:00Z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8f71d9c120df9a16bab874400ce9a8c2d5b2e3131696592a5db3ac819edda774</vt:lpwstr>
  </property>
</Properties>
</file>